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46" w:rsidRPr="00B758F2" w:rsidRDefault="00A2253D" w:rsidP="00890846">
      <w:pPr>
        <w:pStyle w:val="Heading4"/>
        <w:numPr>
          <w:ilvl w:val="0"/>
          <w:numId w:val="0"/>
        </w:numPr>
        <w:pBdr>
          <w:bottom w:val="single" w:sz="6" w:space="1" w:color="auto"/>
        </w:pBdr>
        <w:spacing w:before="120" w:after="0"/>
        <w:rPr>
          <w:rFonts w:ascii="Arial" w:hAnsi="Arial"/>
          <w:b w:val="0"/>
        </w:rPr>
      </w:pPr>
      <w:bookmarkStart w:id="0" w:name="_Toc484234232"/>
      <w:bookmarkStart w:id="1" w:name="_Toc483726897"/>
      <w:bookmarkStart w:id="2" w:name="_Toc483725789"/>
      <w:bookmarkStart w:id="3" w:name="_Toc55020130"/>
      <w:bookmarkStart w:id="4" w:name="_Toc527367136"/>
      <w:r w:rsidRPr="00B758F2">
        <w:rPr>
          <w:rFonts w:ascii="Arial" w:hAnsi="Arial"/>
          <w:bCs w:val="0"/>
          <w:sz w:val="28"/>
          <w:szCs w:val="28"/>
        </w:rPr>
        <w:t xml:space="preserve">Bankwest </w:t>
      </w:r>
      <w:r w:rsidR="00624165" w:rsidRPr="00B758F2">
        <w:rPr>
          <w:rFonts w:ascii="Arial" w:hAnsi="Arial"/>
          <w:bCs w:val="0"/>
          <w:sz w:val="28"/>
          <w:szCs w:val="28"/>
        </w:rPr>
        <w:t xml:space="preserve">Curtin </w:t>
      </w:r>
      <w:r w:rsidRPr="00B758F2">
        <w:rPr>
          <w:rFonts w:ascii="Arial" w:hAnsi="Arial"/>
          <w:bCs w:val="0"/>
          <w:sz w:val="28"/>
          <w:szCs w:val="28"/>
        </w:rPr>
        <w:t xml:space="preserve">Economics Centre PhD Scholarship </w:t>
      </w:r>
      <w:r w:rsidR="00890846" w:rsidRPr="00B758F2">
        <w:rPr>
          <w:rFonts w:ascii="Arial" w:hAnsi="Arial"/>
          <w:sz w:val="28"/>
          <w:szCs w:val="28"/>
        </w:rPr>
        <w:br/>
      </w:r>
      <w:r w:rsidR="00890846" w:rsidRPr="00B758F2">
        <w:rPr>
          <w:rFonts w:ascii="Arial" w:hAnsi="Arial"/>
          <w:b w:val="0"/>
        </w:rPr>
        <w:t xml:space="preserve">Conditions of </w:t>
      </w:r>
      <w:r w:rsidR="00A1147C">
        <w:rPr>
          <w:rFonts w:ascii="Arial" w:hAnsi="Arial"/>
          <w:b w:val="0"/>
        </w:rPr>
        <w:t>201</w:t>
      </w:r>
      <w:r w:rsidR="00B15100">
        <w:rPr>
          <w:rFonts w:ascii="Arial" w:hAnsi="Arial"/>
          <w:b w:val="0"/>
        </w:rPr>
        <w:t>7</w:t>
      </w:r>
      <w:r w:rsidR="00A1147C">
        <w:rPr>
          <w:rFonts w:ascii="Arial" w:hAnsi="Arial"/>
          <w:b w:val="0"/>
        </w:rPr>
        <w:t xml:space="preserve"> Awards</w:t>
      </w:r>
      <w:r w:rsidR="00890846" w:rsidRPr="00B758F2">
        <w:rPr>
          <w:rFonts w:ascii="Arial" w:hAnsi="Arial"/>
          <w:b w:val="0"/>
        </w:rPr>
        <w:br/>
      </w:r>
    </w:p>
    <w:p w:rsidR="00890846" w:rsidRPr="00B758F2" w:rsidRDefault="00890846" w:rsidP="00890846">
      <w:pPr>
        <w:ind w:right="-173"/>
        <w:rPr>
          <w:rFonts w:ascii="Arial" w:hAnsi="Arial"/>
          <w:sz w:val="20"/>
          <w:szCs w:val="20"/>
          <w:lang w:val="en-US"/>
        </w:rPr>
      </w:pPr>
    </w:p>
    <w:bookmarkEnd w:id="0"/>
    <w:bookmarkEnd w:id="1"/>
    <w:bookmarkEnd w:id="2"/>
    <w:bookmarkEnd w:id="3"/>
    <w:bookmarkEnd w:id="4"/>
    <w:p w:rsidR="00A1147C" w:rsidRPr="00B758F2" w:rsidRDefault="00A1147C" w:rsidP="00A1147C">
      <w:pPr>
        <w:pStyle w:val="BodyText1"/>
      </w:pPr>
    </w:p>
    <w:p w:rsidR="00A1147C" w:rsidRPr="00B758F2" w:rsidRDefault="00A1147C" w:rsidP="00A1147C">
      <w:pPr>
        <w:pStyle w:val="Heading3"/>
        <w:numPr>
          <w:ilvl w:val="0"/>
          <w:numId w:val="30"/>
        </w:numPr>
        <w:tabs>
          <w:tab w:val="left" w:pos="540"/>
        </w:tabs>
        <w:spacing w:before="0" w:after="0"/>
        <w:rPr>
          <w:rFonts w:ascii="Arial" w:hAnsi="Arial" w:cs="Arial"/>
          <w:b/>
          <w:sz w:val="20"/>
          <w:szCs w:val="20"/>
        </w:rPr>
      </w:pPr>
      <w:r>
        <w:rPr>
          <w:rFonts w:ascii="Arial" w:hAnsi="Arial" w:cs="Arial"/>
          <w:b/>
          <w:sz w:val="20"/>
          <w:szCs w:val="20"/>
        </w:rPr>
        <w:t xml:space="preserve">The PhD </w:t>
      </w:r>
      <w:r w:rsidRPr="00A1147C">
        <w:rPr>
          <w:rFonts w:ascii="Arial" w:hAnsi="Arial" w:cs="Arial"/>
          <w:b/>
          <w:sz w:val="20"/>
          <w:szCs w:val="20"/>
        </w:rPr>
        <w:t xml:space="preserve">Scholarship </w:t>
      </w:r>
    </w:p>
    <w:p w:rsidR="00A1147C" w:rsidRDefault="00A1147C" w:rsidP="00A1147C">
      <w:pPr>
        <w:pStyle w:val="BodyText1"/>
      </w:pPr>
    </w:p>
    <w:p w:rsidR="00A1147C" w:rsidRDefault="00A1147C" w:rsidP="00A1147C">
      <w:pPr>
        <w:pStyle w:val="BodyText1"/>
      </w:pPr>
      <w:r w:rsidRPr="00B758F2">
        <w:t xml:space="preserve">This scholarship is funded by Curtin University and Bankwest to support and foster the development of world-class research </w:t>
      </w:r>
      <w:r>
        <w:t xml:space="preserve">on economic and social topics of relevance to the mission and aims of the Bankwest Curtin Economics Centre. </w:t>
      </w:r>
    </w:p>
    <w:p w:rsidR="00A1147C" w:rsidRPr="00B758F2" w:rsidRDefault="00A1147C" w:rsidP="00A1147C">
      <w:pPr>
        <w:pStyle w:val="BodyText1"/>
      </w:pPr>
      <w:r>
        <w:t xml:space="preserve"> </w:t>
      </w:r>
      <w:r w:rsidRPr="00B758F2">
        <w:t xml:space="preserve">  </w:t>
      </w:r>
    </w:p>
    <w:p w:rsidR="00A1147C" w:rsidRPr="00B758F2" w:rsidRDefault="00A1147C" w:rsidP="00A1147C">
      <w:pPr>
        <w:pStyle w:val="Heading3"/>
        <w:numPr>
          <w:ilvl w:val="0"/>
          <w:numId w:val="30"/>
        </w:numPr>
        <w:tabs>
          <w:tab w:val="left" w:pos="540"/>
        </w:tabs>
        <w:spacing w:before="0" w:after="0"/>
        <w:rPr>
          <w:rFonts w:ascii="Arial" w:hAnsi="Arial" w:cs="Arial"/>
          <w:b/>
          <w:sz w:val="20"/>
          <w:szCs w:val="20"/>
        </w:rPr>
      </w:pPr>
      <w:r>
        <w:rPr>
          <w:rFonts w:ascii="Arial" w:hAnsi="Arial" w:cs="Arial"/>
          <w:b/>
          <w:sz w:val="20"/>
          <w:szCs w:val="20"/>
        </w:rPr>
        <w:t>Background</w:t>
      </w:r>
    </w:p>
    <w:p w:rsidR="004047A7" w:rsidRDefault="004047A7" w:rsidP="00A1147C">
      <w:pPr>
        <w:pStyle w:val="BodyText1"/>
      </w:pPr>
    </w:p>
    <w:p w:rsidR="00A1147C" w:rsidRDefault="00A1147C" w:rsidP="00A1147C">
      <w:pPr>
        <w:pStyle w:val="BodyText1"/>
      </w:pPr>
      <w:r>
        <w:t>The Bankwest Curtin Economics Centre is an independent economic and social research organisation located within the Curtin Business School at Curtin University. The centre was established in 2012 through the generous support from Bankwest (a division of the</w:t>
      </w:r>
    </w:p>
    <w:p w:rsidR="00A1147C" w:rsidRDefault="00A1147C" w:rsidP="00A1147C">
      <w:pPr>
        <w:pStyle w:val="BodyText1"/>
      </w:pPr>
      <w:r>
        <w:t>Commonwealth Bank of Australia), with a core mission to examine the key economic and social policy issues that contribute to the sustainability of Western Australia and the wellbeing of households both within WA and nationally.</w:t>
      </w:r>
    </w:p>
    <w:p w:rsidR="00A1147C" w:rsidRDefault="00A1147C" w:rsidP="00A1147C">
      <w:pPr>
        <w:pStyle w:val="BodyText1"/>
      </w:pPr>
    </w:p>
    <w:p w:rsidR="00A1147C" w:rsidRDefault="00A1147C" w:rsidP="00A1147C">
      <w:pPr>
        <w:pStyle w:val="BodyText1"/>
      </w:pPr>
      <w:r>
        <w:t>The Bankwest Curtin Economics Centre is the first research organisation of its kind in Western Australia, and draws great strength and credibility from its partnership with Bankwest, Curtin University and the Western Australian government. The centre brings a unique philosophy to research on the major economic issues facing the state. By bringing together experts from the research, policy and business communities at all stages of the process – from framing and conceptualising research questions, through the conduct of research, to the communication and implementation of</w:t>
      </w:r>
      <w:r w:rsidR="00805A69">
        <w:t xml:space="preserve"> </w:t>
      </w:r>
      <w:r>
        <w:t>research findings – we ensure that our research is relevant, fit for purpose, and makes a genuine difference to the lives of Australians, both in WA and nationally.</w:t>
      </w:r>
    </w:p>
    <w:p w:rsidR="00A1147C" w:rsidRDefault="00A1147C" w:rsidP="00A1147C">
      <w:pPr>
        <w:pStyle w:val="BodyText1"/>
      </w:pPr>
    </w:p>
    <w:p w:rsidR="00A1147C" w:rsidRDefault="00A1147C" w:rsidP="00A1147C">
      <w:pPr>
        <w:pStyle w:val="BodyText1"/>
      </w:pPr>
      <w:r>
        <w:t>The Centre is able to capitalise on Curtin University’s reputation for excellence in economic modelling, forecasting, public policy research, trade and industrial economics and spatial sciences. Centre researchers have specific expertise in economic forecasting, quantitative modelling, micro-data analysis and economic and social policy evaluation. The Centre al</w:t>
      </w:r>
      <w:r w:rsidR="00805A69">
        <w:t xml:space="preserve">so derives great value from its </w:t>
      </w:r>
      <w:r>
        <w:t>close association with experts from the corporate, business, public and not-for-profit sectors.</w:t>
      </w:r>
    </w:p>
    <w:p w:rsidR="00A1147C" w:rsidRDefault="00A1147C" w:rsidP="00A1147C">
      <w:pPr>
        <w:pStyle w:val="BodyText1"/>
      </w:pPr>
    </w:p>
    <w:p w:rsidR="00A1147C" w:rsidRDefault="00A1147C" w:rsidP="00A1147C">
      <w:pPr>
        <w:pStyle w:val="BodyText1"/>
        <w:numPr>
          <w:ilvl w:val="0"/>
          <w:numId w:val="0"/>
        </w:numPr>
      </w:pPr>
      <w:r>
        <w:t>Suitable topics for PhD scholars will fall under one of the following general themes, which represent the Centre’s priority areas for research:</w:t>
      </w:r>
      <w:r>
        <w:br/>
      </w:r>
    </w:p>
    <w:p w:rsidR="00B15100" w:rsidRDefault="00B15100" w:rsidP="00B15100">
      <w:pPr>
        <w:pStyle w:val="BodyText1"/>
        <w:numPr>
          <w:ilvl w:val="0"/>
          <w:numId w:val="31"/>
        </w:numPr>
      </w:pPr>
      <w:r>
        <w:t>Income and wealth</w:t>
      </w:r>
    </w:p>
    <w:p w:rsidR="00B15100" w:rsidRDefault="00B15100" w:rsidP="00B15100">
      <w:pPr>
        <w:pStyle w:val="BodyText1"/>
        <w:numPr>
          <w:ilvl w:val="0"/>
          <w:numId w:val="31"/>
        </w:numPr>
      </w:pPr>
      <w:r>
        <w:t>Productivity and innovation</w:t>
      </w:r>
    </w:p>
    <w:p w:rsidR="00B15100" w:rsidRDefault="00B15100" w:rsidP="00B15100">
      <w:pPr>
        <w:pStyle w:val="BodyText1"/>
        <w:numPr>
          <w:ilvl w:val="0"/>
          <w:numId w:val="31"/>
        </w:numPr>
      </w:pPr>
      <w:r>
        <w:t>Education and skills</w:t>
      </w:r>
    </w:p>
    <w:p w:rsidR="00B15100" w:rsidRDefault="00B15100" w:rsidP="00B15100">
      <w:pPr>
        <w:pStyle w:val="BodyText1"/>
        <w:numPr>
          <w:ilvl w:val="0"/>
          <w:numId w:val="31"/>
        </w:numPr>
      </w:pPr>
      <w:r>
        <w:t>Participation and employment</w:t>
      </w:r>
    </w:p>
    <w:p w:rsidR="00B15100" w:rsidRDefault="00B15100" w:rsidP="00B15100">
      <w:pPr>
        <w:pStyle w:val="BodyText1"/>
        <w:numPr>
          <w:ilvl w:val="0"/>
          <w:numId w:val="31"/>
        </w:numPr>
      </w:pPr>
      <w:r>
        <w:t>Population</w:t>
      </w:r>
      <w:r w:rsidR="00BE6A3A">
        <w:t xml:space="preserve">, </w:t>
      </w:r>
      <w:r>
        <w:t>ageing</w:t>
      </w:r>
      <w:r w:rsidR="00BE6A3A">
        <w:t xml:space="preserve"> and retirement</w:t>
      </w:r>
    </w:p>
    <w:p w:rsidR="00B15100" w:rsidRDefault="00B15100" w:rsidP="00B15100">
      <w:pPr>
        <w:pStyle w:val="BodyText1"/>
        <w:numPr>
          <w:ilvl w:val="0"/>
          <w:numId w:val="31"/>
        </w:numPr>
      </w:pPr>
      <w:r>
        <w:t>Gender and diversity</w:t>
      </w:r>
    </w:p>
    <w:p w:rsidR="00B15100" w:rsidRDefault="00B15100" w:rsidP="00B15100">
      <w:pPr>
        <w:pStyle w:val="BodyText1"/>
        <w:numPr>
          <w:ilvl w:val="0"/>
          <w:numId w:val="31"/>
        </w:numPr>
      </w:pPr>
      <w:r>
        <w:t>Health, wellbeing and disadvantage</w:t>
      </w:r>
    </w:p>
    <w:p w:rsidR="00B15100" w:rsidRDefault="00B15100" w:rsidP="00B15100">
      <w:pPr>
        <w:pStyle w:val="BodyText1"/>
        <w:numPr>
          <w:ilvl w:val="0"/>
          <w:numId w:val="31"/>
        </w:numPr>
      </w:pPr>
      <w:r>
        <w:t xml:space="preserve">Housing </w:t>
      </w:r>
      <w:r w:rsidR="00BE6A3A">
        <w:t>pathways and affordability</w:t>
      </w:r>
    </w:p>
    <w:p w:rsidR="00B15100" w:rsidRDefault="00B15100" w:rsidP="00B15100">
      <w:pPr>
        <w:pStyle w:val="BodyText1"/>
        <w:numPr>
          <w:ilvl w:val="0"/>
          <w:numId w:val="31"/>
        </w:numPr>
      </w:pPr>
      <w:r>
        <w:t>Cities and regions</w:t>
      </w:r>
    </w:p>
    <w:p w:rsidR="00B15100" w:rsidRDefault="00B15100" w:rsidP="00B15100">
      <w:pPr>
        <w:pStyle w:val="BodyText1"/>
        <w:numPr>
          <w:ilvl w:val="0"/>
          <w:numId w:val="31"/>
        </w:numPr>
      </w:pPr>
      <w:r>
        <w:t>Policy evaluation</w:t>
      </w:r>
    </w:p>
    <w:p w:rsidR="00B15100" w:rsidRDefault="00B15100" w:rsidP="00B15100">
      <w:pPr>
        <w:pStyle w:val="BodyText1"/>
        <w:numPr>
          <w:ilvl w:val="0"/>
          <w:numId w:val="31"/>
        </w:numPr>
      </w:pPr>
      <w:r>
        <w:t>Tax and welfare</w:t>
      </w:r>
    </w:p>
    <w:p w:rsidR="00A1147C" w:rsidRDefault="00B15100" w:rsidP="00911608">
      <w:pPr>
        <w:pStyle w:val="BodyText1"/>
        <w:numPr>
          <w:ilvl w:val="0"/>
          <w:numId w:val="31"/>
        </w:numPr>
      </w:pPr>
      <w:r>
        <w:t>Trade and industry</w:t>
      </w:r>
      <w:r w:rsidR="00BE6A3A">
        <w:t>.</w:t>
      </w:r>
    </w:p>
    <w:p w:rsidR="00BE6A3A" w:rsidRDefault="00BE6A3A" w:rsidP="00BE6A3A">
      <w:pPr>
        <w:pStyle w:val="BodyText1"/>
        <w:numPr>
          <w:ilvl w:val="0"/>
          <w:numId w:val="0"/>
        </w:numPr>
        <w:ind w:left="720"/>
      </w:pPr>
    </w:p>
    <w:p w:rsidR="00A1147C" w:rsidRDefault="00A1147C" w:rsidP="00A1147C">
      <w:pPr>
        <w:pStyle w:val="BodyText1"/>
      </w:pPr>
      <w:r>
        <w:t>Candidates are welcome to discuss potential research topics with the Centre Director or Centre researchers.</w:t>
      </w:r>
    </w:p>
    <w:p w:rsidR="00A1147C" w:rsidRPr="00B758F2" w:rsidRDefault="00A1147C" w:rsidP="00A1147C">
      <w:pPr>
        <w:pStyle w:val="BodyText1"/>
      </w:pPr>
    </w:p>
    <w:p w:rsidR="00B03F3A" w:rsidRPr="00B758F2" w:rsidRDefault="00A1147C" w:rsidP="00A1147C">
      <w:pPr>
        <w:pStyle w:val="Heading3"/>
        <w:numPr>
          <w:ilvl w:val="0"/>
          <w:numId w:val="30"/>
        </w:numPr>
        <w:tabs>
          <w:tab w:val="left" w:pos="540"/>
        </w:tabs>
        <w:spacing w:before="0" w:after="0"/>
        <w:rPr>
          <w:rFonts w:ascii="Arial" w:hAnsi="Arial" w:cs="Arial"/>
          <w:b/>
          <w:sz w:val="20"/>
          <w:szCs w:val="20"/>
        </w:rPr>
      </w:pPr>
      <w:bookmarkStart w:id="5" w:name="_Toc89079420"/>
      <w:bookmarkStart w:id="6" w:name="_Toc64886210"/>
      <w:r>
        <w:rPr>
          <w:rFonts w:ascii="Arial" w:hAnsi="Arial" w:cs="Arial"/>
          <w:b/>
          <w:sz w:val="20"/>
          <w:szCs w:val="20"/>
        </w:rPr>
        <w:t>E</w:t>
      </w:r>
      <w:r w:rsidR="00B03F3A" w:rsidRPr="00B758F2">
        <w:rPr>
          <w:rFonts w:ascii="Arial" w:hAnsi="Arial" w:cs="Arial"/>
          <w:b/>
          <w:sz w:val="20"/>
          <w:szCs w:val="20"/>
        </w:rPr>
        <w:t>ligibility Requirements</w:t>
      </w:r>
      <w:bookmarkEnd w:id="5"/>
      <w:bookmarkEnd w:id="6"/>
    </w:p>
    <w:p w:rsidR="004047A7" w:rsidRPr="00B758F2" w:rsidRDefault="004047A7" w:rsidP="004047A7">
      <w:pPr>
        <w:tabs>
          <w:tab w:val="left" w:pos="540"/>
          <w:tab w:val="left" w:pos="851"/>
          <w:tab w:val="left" w:pos="1080"/>
          <w:tab w:val="left" w:pos="1620"/>
        </w:tabs>
        <w:ind w:left="540" w:hanging="539"/>
        <w:rPr>
          <w:rFonts w:ascii="Arial" w:hAnsi="Arial" w:cs="Arial"/>
          <w:sz w:val="20"/>
          <w:szCs w:val="20"/>
        </w:rPr>
      </w:pPr>
    </w:p>
    <w:p w:rsidR="00B03F3A" w:rsidRPr="00B758F2" w:rsidRDefault="00B03F3A" w:rsidP="004047A7">
      <w:pPr>
        <w:tabs>
          <w:tab w:val="left" w:pos="540"/>
          <w:tab w:val="left" w:pos="851"/>
          <w:tab w:val="left" w:pos="1080"/>
          <w:tab w:val="left" w:pos="1620"/>
        </w:tabs>
        <w:ind w:left="540" w:hanging="539"/>
        <w:rPr>
          <w:rFonts w:ascii="Arial" w:hAnsi="Arial" w:cs="Arial"/>
          <w:sz w:val="20"/>
          <w:szCs w:val="20"/>
        </w:rPr>
      </w:pPr>
      <w:r w:rsidRPr="00B758F2">
        <w:rPr>
          <w:rFonts w:ascii="Arial" w:hAnsi="Arial" w:cs="Arial"/>
          <w:sz w:val="20"/>
          <w:szCs w:val="20"/>
        </w:rPr>
        <w:t xml:space="preserve">To be eligible for </w:t>
      </w:r>
      <w:r w:rsidR="00A2253D" w:rsidRPr="00B758F2">
        <w:rPr>
          <w:rFonts w:ascii="Arial" w:hAnsi="Arial" w:cs="Arial"/>
          <w:sz w:val="20"/>
          <w:szCs w:val="20"/>
        </w:rPr>
        <w:t xml:space="preserve">this award, </w:t>
      </w:r>
      <w:r w:rsidRPr="00B758F2">
        <w:rPr>
          <w:rFonts w:ascii="Arial" w:hAnsi="Arial" w:cs="Arial"/>
          <w:sz w:val="20"/>
          <w:szCs w:val="20"/>
        </w:rPr>
        <w:t>a student must:</w:t>
      </w:r>
    </w:p>
    <w:p w:rsidR="004047A7" w:rsidRPr="00B758F2" w:rsidRDefault="004047A7" w:rsidP="004047A7">
      <w:pPr>
        <w:pStyle w:val="a"/>
        <w:spacing w:before="0"/>
        <w:ind w:hanging="539"/>
        <w:rPr>
          <w:rFonts w:ascii="Arial" w:hAnsi="Arial" w:cs="Arial"/>
        </w:rPr>
      </w:pPr>
    </w:p>
    <w:p w:rsidR="004047A7" w:rsidRPr="00B15100" w:rsidRDefault="00B03F3A" w:rsidP="00B15100">
      <w:pPr>
        <w:pStyle w:val="a"/>
        <w:numPr>
          <w:ilvl w:val="0"/>
          <w:numId w:val="2"/>
        </w:numPr>
        <w:tabs>
          <w:tab w:val="clear" w:pos="540"/>
          <w:tab w:val="left" w:pos="567"/>
        </w:tabs>
        <w:spacing w:before="0"/>
        <w:ind w:left="567" w:hanging="566"/>
        <w:rPr>
          <w:rFonts w:ascii="Arial" w:hAnsi="Arial" w:cs="Arial"/>
        </w:rPr>
      </w:pPr>
      <w:r w:rsidRPr="00B758F2">
        <w:rPr>
          <w:rFonts w:ascii="Arial" w:hAnsi="Arial" w:cs="Arial"/>
        </w:rPr>
        <w:lastRenderedPageBreak/>
        <w:t>have completed a Bachelor Degree with First Class Honours, or be regarded as having an equivalent level of attainment; and</w:t>
      </w:r>
    </w:p>
    <w:p w:rsidR="00A2253D" w:rsidRPr="00E609C5" w:rsidRDefault="00A2253D" w:rsidP="00A2253D">
      <w:pPr>
        <w:pStyle w:val="ListParagraph"/>
        <w:rPr>
          <w:rFonts w:ascii="Arial" w:hAnsi="Arial" w:cs="Arial"/>
          <w:sz w:val="20"/>
          <w:szCs w:val="20"/>
        </w:rPr>
      </w:pPr>
    </w:p>
    <w:p w:rsidR="00B03F3A" w:rsidRPr="00B758F2" w:rsidRDefault="008D6375" w:rsidP="008D6375">
      <w:pPr>
        <w:pStyle w:val="i"/>
        <w:numPr>
          <w:ilvl w:val="0"/>
          <w:numId w:val="2"/>
        </w:numPr>
        <w:tabs>
          <w:tab w:val="clear" w:pos="1080"/>
        </w:tabs>
        <w:spacing w:before="0"/>
        <w:rPr>
          <w:rFonts w:ascii="Arial" w:hAnsi="Arial" w:cs="Arial"/>
        </w:rPr>
      </w:pPr>
      <w:r>
        <w:rPr>
          <w:rFonts w:ascii="Arial" w:hAnsi="Arial" w:cs="Arial"/>
        </w:rPr>
        <w:t xml:space="preserve">   </w:t>
      </w:r>
      <w:r w:rsidR="00B03F3A" w:rsidRPr="00B758F2">
        <w:rPr>
          <w:rFonts w:ascii="Arial" w:hAnsi="Arial" w:cs="Arial"/>
        </w:rPr>
        <w:t xml:space="preserve">not hold a </w:t>
      </w:r>
      <w:r w:rsidR="00B03F3A" w:rsidRPr="00B758F2">
        <w:rPr>
          <w:rFonts w:ascii="Arial" w:hAnsi="Arial" w:cs="Arial"/>
          <w:iCs/>
        </w:rPr>
        <w:t>Research Doctorate</w:t>
      </w:r>
      <w:r w:rsidR="00B03F3A" w:rsidRPr="00B758F2">
        <w:rPr>
          <w:rFonts w:ascii="Arial" w:hAnsi="Arial" w:cs="Arial"/>
        </w:rPr>
        <w:t xml:space="preserve"> degree or an equivalent research qualification; and</w:t>
      </w:r>
    </w:p>
    <w:p w:rsidR="004047A7" w:rsidRPr="00B758F2" w:rsidRDefault="004047A7" w:rsidP="004047A7">
      <w:pPr>
        <w:pStyle w:val="a"/>
        <w:tabs>
          <w:tab w:val="clear" w:pos="540"/>
          <w:tab w:val="left" w:pos="567"/>
        </w:tabs>
        <w:spacing w:before="0"/>
        <w:ind w:left="567" w:firstLine="0"/>
        <w:rPr>
          <w:rFonts w:ascii="Arial" w:hAnsi="Arial" w:cs="Arial"/>
        </w:rPr>
      </w:pPr>
    </w:p>
    <w:p w:rsidR="00B03F3A" w:rsidRPr="00B758F2" w:rsidRDefault="00B03F3A" w:rsidP="00551F72">
      <w:pPr>
        <w:pStyle w:val="a"/>
        <w:numPr>
          <w:ilvl w:val="0"/>
          <w:numId w:val="2"/>
        </w:numPr>
        <w:tabs>
          <w:tab w:val="clear" w:pos="540"/>
          <w:tab w:val="left" w:pos="567"/>
        </w:tabs>
        <w:spacing w:before="0"/>
        <w:ind w:left="567" w:hanging="566"/>
        <w:rPr>
          <w:rFonts w:ascii="Arial" w:hAnsi="Arial" w:cs="Arial"/>
        </w:rPr>
      </w:pPr>
      <w:r w:rsidRPr="00B758F2">
        <w:rPr>
          <w:rFonts w:ascii="Arial" w:hAnsi="Arial" w:cs="Arial"/>
        </w:rPr>
        <w:t>not previously have held an Australian Government-funded postgraduate research scholarship, unless it was terminated within six months of the scholarship’s payments commencing; and</w:t>
      </w:r>
    </w:p>
    <w:p w:rsidR="004047A7" w:rsidRPr="00B758F2" w:rsidRDefault="004047A7" w:rsidP="004047A7">
      <w:pPr>
        <w:pStyle w:val="a"/>
        <w:tabs>
          <w:tab w:val="clear" w:pos="540"/>
          <w:tab w:val="left" w:pos="567"/>
        </w:tabs>
        <w:spacing w:before="0"/>
        <w:ind w:left="567" w:firstLine="0"/>
        <w:rPr>
          <w:rFonts w:ascii="Arial" w:hAnsi="Arial" w:cs="Arial"/>
        </w:rPr>
      </w:pPr>
    </w:p>
    <w:p w:rsidR="00B03F3A" w:rsidRDefault="00B03F3A" w:rsidP="00551F72">
      <w:pPr>
        <w:pStyle w:val="a"/>
        <w:numPr>
          <w:ilvl w:val="0"/>
          <w:numId w:val="2"/>
        </w:numPr>
        <w:tabs>
          <w:tab w:val="clear" w:pos="540"/>
          <w:tab w:val="left" w:pos="567"/>
        </w:tabs>
        <w:spacing w:before="0"/>
        <w:ind w:left="567" w:hanging="566"/>
        <w:rPr>
          <w:rFonts w:ascii="Arial" w:hAnsi="Arial" w:cs="Arial"/>
        </w:rPr>
      </w:pPr>
      <w:r w:rsidRPr="00B758F2">
        <w:rPr>
          <w:rFonts w:ascii="Arial" w:hAnsi="Arial" w:cs="Arial"/>
        </w:rPr>
        <w:t>not be receiving an equivalent award, scholarship or salary providing a benefit greater than 75% of the</w:t>
      </w:r>
      <w:r w:rsidR="0054078A" w:rsidRPr="00B758F2">
        <w:rPr>
          <w:rFonts w:ascii="Arial" w:hAnsi="Arial" w:cs="Arial"/>
        </w:rPr>
        <w:t xml:space="preserve"> </w:t>
      </w:r>
      <w:r w:rsidR="00A2253D" w:rsidRPr="00B758F2">
        <w:rPr>
          <w:rFonts w:ascii="Arial" w:hAnsi="Arial" w:cs="Arial"/>
        </w:rPr>
        <w:t>award</w:t>
      </w:r>
      <w:r w:rsidRPr="00B758F2">
        <w:rPr>
          <w:rFonts w:ascii="Arial" w:hAnsi="Arial" w:cs="Arial"/>
        </w:rPr>
        <w:t xml:space="preserve"> stipend rate to undertake the HDR. Income earned from sources unrelated to the course of study is not subject to the 75% rule.</w:t>
      </w:r>
    </w:p>
    <w:p w:rsidR="00863C09" w:rsidRDefault="00863C09" w:rsidP="00863C09">
      <w:pPr>
        <w:pStyle w:val="ListParagraph"/>
        <w:rPr>
          <w:rFonts w:ascii="Arial" w:hAnsi="Arial" w:cs="Arial"/>
        </w:rPr>
      </w:pPr>
    </w:p>
    <w:p w:rsidR="004047A7" w:rsidRPr="00863C09" w:rsidRDefault="00863C09" w:rsidP="00863C09">
      <w:pPr>
        <w:pStyle w:val="ListParagraph"/>
        <w:numPr>
          <w:ilvl w:val="0"/>
          <w:numId w:val="2"/>
        </w:numPr>
        <w:ind w:left="567" w:hanging="566"/>
        <w:rPr>
          <w:rFonts w:ascii="Arial" w:hAnsi="Arial" w:cs="Arial"/>
          <w:sz w:val="20"/>
          <w:szCs w:val="20"/>
        </w:rPr>
      </w:pPr>
      <w:r w:rsidRPr="00863C09">
        <w:rPr>
          <w:rFonts w:ascii="Arial" w:hAnsi="Arial" w:cs="Arial"/>
          <w:sz w:val="20"/>
          <w:szCs w:val="20"/>
          <w:shd w:val="clear" w:color="auto" w:fill="F9F9F9"/>
        </w:rPr>
        <w:t>Curtin requires all students to demonstrate competency in English. For a list of approved English Qualifications and for further information, please refer to the </w:t>
      </w:r>
      <w:hyperlink r:id="rId7" w:tgtFrame="_blank" w:history="1">
        <w:r w:rsidRPr="00863C09">
          <w:rPr>
            <w:rStyle w:val="Hyperlink"/>
            <w:rFonts w:ascii="Arial" w:hAnsi="Arial" w:cs="Arial"/>
            <w:color w:val="8259A6"/>
            <w:sz w:val="20"/>
            <w:szCs w:val="20"/>
            <w:shd w:val="clear" w:color="auto" w:fill="F9F9F9"/>
          </w:rPr>
          <w:t>qualifications accepted as satisfying Curtin's minimum English entry requirements [.pdf]</w:t>
        </w:r>
      </w:hyperlink>
      <w:r w:rsidRPr="00863C09">
        <w:rPr>
          <w:rFonts w:ascii="Arial" w:hAnsi="Arial" w:cs="Arial"/>
          <w:color w:val="595959"/>
          <w:sz w:val="20"/>
          <w:szCs w:val="20"/>
          <w:shd w:val="clear" w:color="auto" w:fill="F9F9F9"/>
        </w:rPr>
        <w:t> </w:t>
      </w:r>
      <w:r w:rsidRPr="00863C09">
        <w:rPr>
          <w:rFonts w:ascii="Arial" w:hAnsi="Arial" w:cs="Arial"/>
          <w:sz w:val="20"/>
          <w:szCs w:val="20"/>
          <w:shd w:val="clear" w:color="auto" w:fill="F9F9F9"/>
        </w:rPr>
        <w:t xml:space="preserve">or contact the University Admission Centre by email on </w:t>
      </w:r>
      <w:hyperlink r:id="rId8" w:history="1">
        <w:r w:rsidRPr="00863C09">
          <w:rPr>
            <w:rStyle w:val="Hyperlink"/>
            <w:rFonts w:ascii="Arial" w:hAnsi="Arial" w:cs="Arial"/>
            <w:color w:val="8259A6"/>
            <w:sz w:val="20"/>
            <w:szCs w:val="20"/>
            <w:shd w:val="clear" w:color="auto" w:fill="F9F9F9"/>
          </w:rPr>
          <w:t>admissions@curtin.edu.au</w:t>
        </w:r>
      </w:hyperlink>
      <w:r w:rsidRPr="00863C09">
        <w:rPr>
          <w:rFonts w:ascii="Arial" w:hAnsi="Arial" w:cs="Arial"/>
          <w:color w:val="595959"/>
          <w:sz w:val="20"/>
          <w:szCs w:val="20"/>
          <w:shd w:val="clear" w:color="auto" w:fill="F9F9F9"/>
        </w:rPr>
        <w:t>.</w:t>
      </w:r>
    </w:p>
    <w:p w:rsidR="00863C09" w:rsidRPr="00863C09" w:rsidRDefault="00863C09" w:rsidP="00863C09">
      <w:pPr>
        <w:rPr>
          <w:rFonts w:ascii="Arial" w:hAnsi="Arial" w:cs="Arial"/>
          <w:sz w:val="20"/>
          <w:szCs w:val="20"/>
        </w:rPr>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bookmarkStart w:id="7" w:name="_Toc484234260"/>
      <w:bookmarkStart w:id="8" w:name="_Toc418051017"/>
      <w:r w:rsidRPr="00B758F2">
        <w:rPr>
          <w:rFonts w:ascii="Arial" w:hAnsi="Arial" w:cs="Arial"/>
          <w:b/>
          <w:sz w:val="20"/>
          <w:szCs w:val="20"/>
        </w:rPr>
        <w:t xml:space="preserve">Duration of </w:t>
      </w:r>
      <w:r w:rsidR="00A2253D" w:rsidRPr="00B758F2">
        <w:rPr>
          <w:rFonts w:ascii="Arial" w:hAnsi="Arial" w:cs="Arial"/>
          <w:b/>
          <w:sz w:val="20"/>
          <w:szCs w:val="20"/>
        </w:rPr>
        <w:t>the award</w:t>
      </w:r>
    </w:p>
    <w:p w:rsidR="00D358B6" w:rsidRPr="00B758F2" w:rsidRDefault="00D358B6" w:rsidP="004047A7">
      <w:pPr>
        <w:pStyle w:val="a"/>
        <w:spacing w:before="0"/>
        <w:ind w:hanging="539"/>
        <w:rPr>
          <w:rFonts w:ascii="Arial" w:hAnsi="Arial" w:cs="Arial"/>
        </w:rPr>
      </w:pPr>
    </w:p>
    <w:p w:rsidR="00B03F3A" w:rsidRPr="00E609C5" w:rsidRDefault="00B03F3A" w:rsidP="00551F72">
      <w:pPr>
        <w:pStyle w:val="a"/>
        <w:numPr>
          <w:ilvl w:val="0"/>
          <w:numId w:val="4"/>
        </w:numPr>
        <w:tabs>
          <w:tab w:val="clear" w:pos="540"/>
          <w:tab w:val="left" w:pos="567"/>
        </w:tabs>
        <w:spacing w:before="0"/>
        <w:ind w:left="567" w:hanging="566"/>
        <w:rPr>
          <w:rFonts w:ascii="Arial" w:hAnsi="Arial" w:cs="Arial"/>
        </w:rPr>
      </w:pPr>
      <w:r w:rsidRPr="00B758F2">
        <w:rPr>
          <w:rFonts w:ascii="Arial" w:hAnsi="Arial" w:cs="Arial"/>
        </w:rPr>
        <w:t>The duration of a full-time</w:t>
      </w:r>
      <w:r w:rsidR="00A2253D" w:rsidRPr="00B758F2">
        <w:rPr>
          <w:rFonts w:ascii="Arial" w:hAnsi="Arial" w:cs="Arial"/>
        </w:rPr>
        <w:t xml:space="preserve"> award</w:t>
      </w:r>
      <w:r w:rsidRPr="00B758F2">
        <w:rPr>
          <w:rFonts w:ascii="Arial" w:hAnsi="Arial" w:cs="Arial"/>
        </w:rPr>
        <w:t xml:space="preserve"> is three years </w:t>
      </w:r>
      <w:r w:rsidR="00A2253D" w:rsidRPr="00B758F2">
        <w:rPr>
          <w:rFonts w:ascii="Arial" w:hAnsi="Arial" w:cs="Arial"/>
        </w:rPr>
        <w:t xml:space="preserve">and six months </w:t>
      </w:r>
      <w:r w:rsidRPr="00B758F2">
        <w:rPr>
          <w:rFonts w:ascii="Arial" w:hAnsi="Arial" w:cs="Arial"/>
        </w:rPr>
        <w:t>for a stud</w:t>
      </w:r>
      <w:r w:rsidR="00A2253D" w:rsidRPr="00B758F2">
        <w:rPr>
          <w:rFonts w:ascii="Arial" w:hAnsi="Arial" w:cs="Arial"/>
        </w:rPr>
        <w:t>ent</w:t>
      </w:r>
      <w:r w:rsidR="00504FD7">
        <w:rPr>
          <w:rFonts w:ascii="Arial" w:hAnsi="Arial" w:cs="Arial"/>
        </w:rPr>
        <w:t xml:space="preserve"> undertaking Doctoral studies. </w:t>
      </w:r>
      <w:r w:rsidR="00A2253D" w:rsidRPr="00B758F2">
        <w:rPr>
          <w:rFonts w:ascii="Arial" w:hAnsi="Arial" w:cs="Arial"/>
        </w:rPr>
        <w:t>No further extension is available under this award.</w:t>
      </w:r>
      <w:r w:rsidR="00A2253D" w:rsidRPr="00E609C5">
        <w:rPr>
          <w:rFonts w:ascii="Arial" w:hAnsi="Arial" w:cs="Arial"/>
        </w:rPr>
        <w:t xml:space="preserve">  </w:t>
      </w:r>
    </w:p>
    <w:p w:rsidR="0066303D" w:rsidRPr="00B758F2" w:rsidRDefault="0066303D" w:rsidP="0066303D">
      <w:pPr>
        <w:pStyle w:val="a"/>
        <w:tabs>
          <w:tab w:val="clear" w:pos="540"/>
          <w:tab w:val="left" w:pos="567"/>
        </w:tabs>
        <w:spacing w:before="0"/>
        <w:ind w:left="1" w:firstLine="0"/>
        <w:rPr>
          <w:rFonts w:ascii="Arial" w:hAnsi="Arial" w:cs="Arial"/>
        </w:rPr>
      </w:pPr>
    </w:p>
    <w:p w:rsidR="009F3DC6" w:rsidRPr="00E609C5" w:rsidRDefault="009F3DC6" w:rsidP="00C56B24">
      <w:pPr>
        <w:pStyle w:val="a"/>
        <w:numPr>
          <w:ilvl w:val="0"/>
          <w:numId w:val="4"/>
        </w:numPr>
        <w:tabs>
          <w:tab w:val="clear" w:pos="540"/>
          <w:tab w:val="left" w:pos="567"/>
        </w:tabs>
        <w:spacing w:before="0"/>
        <w:ind w:left="567" w:hanging="566"/>
        <w:rPr>
          <w:rFonts w:ascii="Arial" w:hAnsi="Arial" w:cs="Arial"/>
        </w:rPr>
      </w:pPr>
      <w:r w:rsidRPr="00E609C5">
        <w:rPr>
          <w:rFonts w:ascii="Arial" w:hAnsi="Arial" w:cs="Arial"/>
        </w:rPr>
        <w:t xml:space="preserve">The duration of </w:t>
      </w:r>
      <w:r w:rsidR="000D531B" w:rsidRPr="00E609C5">
        <w:rPr>
          <w:rFonts w:ascii="Arial" w:hAnsi="Arial" w:cs="Arial"/>
        </w:rPr>
        <w:t xml:space="preserve">this award </w:t>
      </w:r>
      <w:r w:rsidRPr="00E609C5">
        <w:rPr>
          <w:rFonts w:ascii="Arial" w:hAnsi="Arial" w:cs="Arial"/>
        </w:rPr>
        <w:t xml:space="preserve">will be increased by any periods of paid sick or maternity leave approved by the University. </w:t>
      </w:r>
    </w:p>
    <w:p w:rsidR="00D358B6" w:rsidRPr="00B758F2" w:rsidRDefault="00D358B6" w:rsidP="004047A7">
      <w:pPr>
        <w:pStyle w:val="i"/>
        <w:spacing w:before="0"/>
        <w:ind w:hanging="539"/>
        <w:rPr>
          <w:rFonts w:ascii="Arial" w:hAnsi="Arial" w:cs="Arial"/>
        </w:rPr>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bookmarkStart w:id="9" w:name="_Toc55020145"/>
      <w:bookmarkStart w:id="10" w:name="_Toc527367155"/>
      <w:bookmarkStart w:id="11" w:name="_Toc484234264"/>
      <w:bookmarkStart w:id="12" w:name="_Toc418051014"/>
      <w:r w:rsidRPr="00B758F2">
        <w:rPr>
          <w:rFonts w:ascii="Arial" w:hAnsi="Arial" w:cs="Arial"/>
          <w:b/>
          <w:sz w:val="20"/>
          <w:szCs w:val="20"/>
        </w:rPr>
        <w:t>Stipend and Allowances</w:t>
      </w:r>
    </w:p>
    <w:p w:rsidR="00FB622C" w:rsidRDefault="00FB622C" w:rsidP="00FB622C">
      <w:pPr>
        <w:rPr>
          <w:rFonts w:ascii="Arial" w:hAnsi="Arial" w:cs="Arial"/>
          <w:sz w:val="20"/>
          <w:szCs w:val="20"/>
        </w:rPr>
      </w:pPr>
    </w:p>
    <w:p w:rsidR="003C0349" w:rsidRPr="00FB622C" w:rsidRDefault="00FB622C" w:rsidP="00FB622C">
      <w:pPr>
        <w:ind w:firstLine="541"/>
        <w:rPr>
          <w:rFonts w:ascii="Arial" w:hAnsi="Arial" w:cs="Arial"/>
          <w:b/>
          <w:sz w:val="20"/>
          <w:szCs w:val="20"/>
        </w:rPr>
      </w:pPr>
      <w:r w:rsidRPr="00FB622C">
        <w:rPr>
          <w:rFonts w:ascii="Arial" w:hAnsi="Arial" w:cs="Arial"/>
          <w:b/>
          <w:sz w:val="20"/>
          <w:szCs w:val="20"/>
        </w:rPr>
        <w:t xml:space="preserve">5.1 </w:t>
      </w:r>
      <w:r w:rsidR="00B07937" w:rsidRPr="00FB622C">
        <w:rPr>
          <w:rFonts w:ascii="Arial" w:hAnsi="Arial" w:cs="Arial"/>
          <w:b/>
          <w:sz w:val="20"/>
          <w:szCs w:val="20"/>
        </w:rPr>
        <w:t>Annual Stipend</w:t>
      </w:r>
    </w:p>
    <w:p w:rsidR="00E748DA" w:rsidRPr="00B758F2" w:rsidRDefault="00E748DA" w:rsidP="00917F5C">
      <w:pPr>
        <w:ind w:left="567"/>
        <w:rPr>
          <w:rFonts w:ascii="Arial" w:hAnsi="Arial" w:cs="Arial"/>
          <w:sz w:val="20"/>
          <w:szCs w:val="20"/>
        </w:rPr>
      </w:pPr>
    </w:p>
    <w:p w:rsidR="00B03F3A" w:rsidRPr="00B758F2" w:rsidRDefault="00FB48A3" w:rsidP="00F527CB">
      <w:pPr>
        <w:pStyle w:val="a"/>
        <w:numPr>
          <w:ilvl w:val="0"/>
          <w:numId w:val="6"/>
        </w:numPr>
        <w:tabs>
          <w:tab w:val="clear" w:pos="540"/>
          <w:tab w:val="left" w:pos="567"/>
        </w:tabs>
        <w:spacing w:before="0"/>
        <w:ind w:left="567" w:hanging="567"/>
        <w:rPr>
          <w:rFonts w:ascii="Arial" w:hAnsi="Arial" w:cs="Arial"/>
        </w:rPr>
      </w:pPr>
      <w:r w:rsidRPr="00B758F2">
        <w:rPr>
          <w:rFonts w:ascii="Arial" w:hAnsi="Arial" w:cs="Arial"/>
        </w:rPr>
        <w:t>The</w:t>
      </w:r>
      <w:r w:rsidR="00B03F3A" w:rsidRPr="00B758F2">
        <w:rPr>
          <w:rFonts w:ascii="Arial" w:hAnsi="Arial" w:cs="Arial"/>
        </w:rPr>
        <w:t xml:space="preserve"> </w:t>
      </w:r>
      <w:r w:rsidR="00A1147C">
        <w:rPr>
          <w:rFonts w:ascii="Arial" w:hAnsi="Arial" w:cs="Arial"/>
        </w:rPr>
        <w:t xml:space="preserve">Centre </w:t>
      </w:r>
      <w:r w:rsidR="00B03F3A" w:rsidRPr="00B758F2">
        <w:rPr>
          <w:rFonts w:ascii="Arial" w:hAnsi="Arial" w:cs="Arial"/>
        </w:rPr>
        <w:t xml:space="preserve">will provide each full-time </w:t>
      </w:r>
      <w:r w:rsidR="000D531B" w:rsidRPr="00B758F2">
        <w:rPr>
          <w:rFonts w:ascii="Arial" w:hAnsi="Arial" w:cs="Arial"/>
        </w:rPr>
        <w:t xml:space="preserve">awardee </w:t>
      </w:r>
      <w:r w:rsidR="00B03F3A" w:rsidRPr="00B758F2">
        <w:rPr>
          <w:rFonts w:ascii="Arial" w:hAnsi="Arial" w:cs="Arial"/>
        </w:rPr>
        <w:t xml:space="preserve">with </w:t>
      </w:r>
      <w:r w:rsidR="00A1147C">
        <w:rPr>
          <w:rFonts w:ascii="Arial" w:hAnsi="Arial" w:cs="Arial"/>
        </w:rPr>
        <w:t xml:space="preserve">an enhanced </w:t>
      </w:r>
      <w:r w:rsidR="00B03F3A" w:rsidRPr="00B758F2">
        <w:rPr>
          <w:rFonts w:ascii="Arial" w:hAnsi="Arial" w:cs="Arial"/>
        </w:rPr>
        <w:t xml:space="preserve">stipend of </w:t>
      </w:r>
      <w:r w:rsidR="00B03F3A" w:rsidRPr="00A1147C">
        <w:rPr>
          <w:rFonts w:ascii="Arial" w:hAnsi="Arial" w:cs="Arial"/>
          <w:b/>
        </w:rPr>
        <w:t>$</w:t>
      </w:r>
      <w:r w:rsidR="002362F4" w:rsidRPr="002362F4">
        <w:rPr>
          <w:rFonts w:ascii="Arial" w:hAnsi="Arial" w:cs="Arial"/>
          <w:b/>
        </w:rPr>
        <w:t>3</w:t>
      </w:r>
      <w:r w:rsidR="00B90844">
        <w:rPr>
          <w:rFonts w:ascii="Arial" w:hAnsi="Arial" w:cs="Arial"/>
          <w:b/>
        </w:rPr>
        <w:t>6</w:t>
      </w:r>
      <w:r w:rsidR="002362F4">
        <w:rPr>
          <w:rFonts w:ascii="Arial" w:hAnsi="Arial" w:cs="Arial"/>
          <w:b/>
        </w:rPr>
        <w:t>,</w:t>
      </w:r>
      <w:r w:rsidR="00B90844">
        <w:rPr>
          <w:rFonts w:ascii="Arial" w:hAnsi="Arial" w:cs="Arial"/>
          <w:b/>
        </w:rPr>
        <w:t>0</w:t>
      </w:r>
      <w:r w:rsidR="00863C09">
        <w:rPr>
          <w:rFonts w:ascii="Arial" w:hAnsi="Arial" w:cs="Arial"/>
          <w:b/>
        </w:rPr>
        <w:t>93</w:t>
      </w:r>
      <w:r w:rsidR="002362F4">
        <w:rPr>
          <w:rFonts w:ascii="Arial" w:hAnsi="Arial" w:cs="Arial"/>
          <w:b/>
        </w:rPr>
        <w:t xml:space="preserve"> </w:t>
      </w:r>
      <w:r w:rsidR="000D531B" w:rsidRPr="00B758F2">
        <w:rPr>
          <w:rFonts w:ascii="Arial" w:hAnsi="Arial" w:cs="Arial"/>
        </w:rPr>
        <w:t xml:space="preserve">per annum </w:t>
      </w:r>
      <w:r w:rsidR="00863C09">
        <w:rPr>
          <w:rFonts w:ascii="Arial" w:hAnsi="Arial" w:cs="Arial"/>
        </w:rPr>
        <w:t xml:space="preserve">(an enhancement of 33.3% on the standard Australian Postgraduate Awards stipend) </w:t>
      </w:r>
      <w:r w:rsidR="00B03F3A" w:rsidRPr="00B758F2">
        <w:rPr>
          <w:rFonts w:ascii="Arial" w:hAnsi="Arial" w:cs="Arial"/>
        </w:rPr>
        <w:t xml:space="preserve">which is exempt from taxation.  Where a full-time </w:t>
      </w:r>
      <w:r w:rsidR="000D531B" w:rsidRPr="00B758F2">
        <w:rPr>
          <w:rFonts w:ascii="Arial" w:hAnsi="Arial" w:cs="Arial"/>
        </w:rPr>
        <w:t xml:space="preserve">awardee </w:t>
      </w:r>
      <w:r w:rsidR="00B03F3A" w:rsidRPr="00B758F2">
        <w:rPr>
          <w:rFonts w:ascii="Arial" w:hAnsi="Arial" w:cs="Arial"/>
        </w:rPr>
        <w:t xml:space="preserve">is not enrolled over the full period of the year, because of a late commencement or periods of suspension, </w:t>
      </w:r>
      <w:r w:rsidR="00FB622C">
        <w:rPr>
          <w:rFonts w:ascii="Arial" w:hAnsi="Arial" w:cs="Arial"/>
        </w:rPr>
        <w:t>t</w:t>
      </w:r>
      <w:r w:rsidRPr="00B758F2">
        <w:rPr>
          <w:rFonts w:ascii="Arial" w:hAnsi="Arial" w:cs="Arial"/>
        </w:rPr>
        <w:t>he</w:t>
      </w:r>
      <w:r w:rsidR="00B03F3A" w:rsidRPr="00B758F2">
        <w:rPr>
          <w:rFonts w:ascii="Arial" w:hAnsi="Arial" w:cs="Arial"/>
        </w:rPr>
        <w:t xml:space="preserve"> </w:t>
      </w:r>
      <w:r w:rsidR="00A1147C">
        <w:rPr>
          <w:rFonts w:ascii="Arial" w:hAnsi="Arial" w:cs="Arial"/>
        </w:rPr>
        <w:t xml:space="preserve">Centre </w:t>
      </w:r>
      <w:r w:rsidR="00B03F3A" w:rsidRPr="00B758F2">
        <w:rPr>
          <w:rFonts w:ascii="Arial" w:hAnsi="Arial" w:cs="Arial"/>
        </w:rPr>
        <w:t>will provide at least the proportion of the annual stipend for the period in which st</w:t>
      </w:r>
      <w:r w:rsidR="00B07937" w:rsidRPr="00B758F2">
        <w:rPr>
          <w:rFonts w:ascii="Arial" w:hAnsi="Arial" w:cs="Arial"/>
        </w:rPr>
        <w:t>udy is undertaken for that year.</w:t>
      </w:r>
    </w:p>
    <w:p w:rsidR="0054078A" w:rsidRPr="00B758F2" w:rsidRDefault="0054078A" w:rsidP="00E609C5">
      <w:pPr>
        <w:pStyle w:val="a"/>
        <w:tabs>
          <w:tab w:val="clear" w:pos="540"/>
          <w:tab w:val="left" w:pos="1134"/>
        </w:tabs>
        <w:spacing w:before="0"/>
        <w:ind w:left="1134" w:firstLine="0"/>
        <w:rPr>
          <w:rFonts w:ascii="Arial" w:hAnsi="Arial" w:cs="Arial"/>
        </w:rPr>
      </w:pPr>
    </w:p>
    <w:p w:rsidR="0054078A" w:rsidRPr="00B758F2" w:rsidRDefault="0054078A" w:rsidP="00F527CB">
      <w:pPr>
        <w:pStyle w:val="a"/>
        <w:numPr>
          <w:ilvl w:val="0"/>
          <w:numId w:val="6"/>
        </w:numPr>
        <w:tabs>
          <w:tab w:val="clear" w:pos="540"/>
          <w:tab w:val="left" w:pos="567"/>
        </w:tabs>
        <w:spacing w:before="0"/>
        <w:ind w:left="567" w:hanging="567"/>
        <w:rPr>
          <w:rFonts w:ascii="Arial" w:hAnsi="Arial" w:cs="Arial"/>
        </w:rPr>
      </w:pPr>
      <w:r w:rsidRPr="00B758F2">
        <w:rPr>
          <w:rFonts w:ascii="Arial" w:hAnsi="Arial" w:cs="Arial"/>
        </w:rPr>
        <w:t>Awa</w:t>
      </w:r>
      <w:r w:rsidR="00A1147C">
        <w:rPr>
          <w:rFonts w:ascii="Arial" w:hAnsi="Arial" w:cs="Arial"/>
        </w:rPr>
        <w:t>rd holders will receive up to $2,500</w:t>
      </w:r>
      <w:r w:rsidRPr="00B758F2">
        <w:rPr>
          <w:rFonts w:ascii="Arial" w:hAnsi="Arial" w:cs="Arial"/>
        </w:rPr>
        <w:t xml:space="preserve"> per annum for </w:t>
      </w:r>
      <w:r w:rsidR="00A1147C">
        <w:rPr>
          <w:rFonts w:ascii="Arial" w:hAnsi="Arial" w:cs="Arial"/>
        </w:rPr>
        <w:t xml:space="preserve">conference and </w:t>
      </w:r>
      <w:r w:rsidRPr="00B758F2">
        <w:rPr>
          <w:rFonts w:ascii="Arial" w:hAnsi="Arial" w:cs="Arial"/>
        </w:rPr>
        <w:t>field work expenses</w:t>
      </w:r>
      <w:r w:rsidR="00405746">
        <w:rPr>
          <w:rFonts w:ascii="Arial" w:hAnsi="Arial" w:cs="Arial"/>
        </w:rPr>
        <w:t>.</w:t>
      </w:r>
    </w:p>
    <w:p w:rsidR="00B07937" w:rsidRPr="00B758F2" w:rsidRDefault="00B07937" w:rsidP="00F527CB">
      <w:pPr>
        <w:pStyle w:val="a"/>
        <w:tabs>
          <w:tab w:val="clear" w:pos="540"/>
          <w:tab w:val="left" w:pos="567"/>
        </w:tabs>
        <w:spacing w:before="0"/>
        <w:ind w:left="567" w:firstLine="0"/>
        <w:rPr>
          <w:rFonts w:ascii="Arial" w:hAnsi="Arial" w:cs="Arial"/>
        </w:rPr>
      </w:pPr>
    </w:p>
    <w:p w:rsidR="00B03F3A" w:rsidRPr="00B758F2" w:rsidRDefault="000D531B" w:rsidP="00F527CB">
      <w:pPr>
        <w:pStyle w:val="a"/>
        <w:numPr>
          <w:ilvl w:val="0"/>
          <w:numId w:val="6"/>
        </w:numPr>
        <w:tabs>
          <w:tab w:val="clear" w:pos="540"/>
          <w:tab w:val="left" w:pos="567"/>
        </w:tabs>
        <w:spacing w:before="0"/>
        <w:ind w:left="567" w:hanging="567"/>
        <w:rPr>
          <w:rFonts w:ascii="Arial" w:hAnsi="Arial" w:cs="Arial"/>
        </w:rPr>
      </w:pPr>
      <w:r w:rsidRPr="00B758F2">
        <w:rPr>
          <w:rFonts w:ascii="Arial" w:hAnsi="Arial" w:cs="Arial"/>
        </w:rPr>
        <w:t xml:space="preserve">Award </w:t>
      </w:r>
      <w:r w:rsidR="00B03F3A" w:rsidRPr="00B758F2">
        <w:rPr>
          <w:rFonts w:ascii="Arial" w:hAnsi="Arial" w:cs="Arial"/>
        </w:rPr>
        <w:t>holders are permitted to:</w:t>
      </w:r>
    </w:p>
    <w:p w:rsidR="00B03F3A" w:rsidRPr="00B758F2" w:rsidRDefault="00B03F3A" w:rsidP="00F527CB">
      <w:pPr>
        <w:pStyle w:val="i"/>
        <w:numPr>
          <w:ilvl w:val="0"/>
          <w:numId w:val="7"/>
        </w:numPr>
        <w:tabs>
          <w:tab w:val="clear" w:pos="1080"/>
          <w:tab w:val="left" w:pos="1134"/>
        </w:tabs>
        <w:spacing w:before="0" w:after="120"/>
        <w:ind w:left="1134" w:hanging="567"/>
        <w:rPr>
          <w:rFonts w:ascii="Arial" w:hAnsi="Arial" w:cs="Arial"/>
        </w:rPr>
      </w:pPr>
      <w:r w:rsidRPr="00B758F2">
        <w:rPr>
          <w:rFonts w:ascii="Arial" w:hAnsi="Arial" w:cs="Arial"/>
        </w:rPr>
        <w:t>obtain funding for overseas travel costs from other Australian Government awards or any other source; and</w:t>
      </w:r>
    </w:p>
    <w:p w:rsidR="00917F5C" w:rsidRPr="00381DB2" w:rsidRDefault="00B03F3A" w:rsidP="00F527CB">
      <w:pPr>
        <w:pStyle w:val="i"/>
        <w:numPr>
          <w:ilvl w:val="0"/>
          <w:numId w:val="7"/>
        </w:numPr>
        <w:tabs>
          <w:tab w:val="clear" w:pos="1080"/>
          <w:tab w:val="left" w:pos="1134"/>
        </w:tabs>
        <w:spacing w:before="0" w:after="120"/>
        <w:ind w:left="1134" w:hanging="567"/>
        <w:rPr>
          <w:rFonts w:ascii="Arial" w:hAnsi="Arial" w:cs="Arial"/>
        </w:rPr>
      </w:pPr>
      <w:r w:rsidRPr="00B758F2">
        <w:rPr>
          <w:rFonts w:ascii="Arial" w:hAnsi="Arial" w:cs="Arial"/>
        </w:rPr>
        <w:t xml:space="preserve">receive income derived from part-time work undertaken within the Conditions set by </w:t>
      </w:r>
      <w:r w:rsidR="00FB48A3" w:rsidRPr="00B758F2">
        <w:rPr>
          <w:rFonts w:ascii="Arial" w:hAnsi="Arial" w:cs="Arial"/>
        </w:rPr>
        <w:t>the</w:t>
      </w:r>
      <w:r w:rsidR="00723CFB" w:rsidRPr="00B758F2">
        <w:rPr>
          <w:rFonts w:ascii="Arial" w:hAnsi="Arial" w:cs="Arial"/>
        </w:rPr>
        <w:t xml:space="preserve"> University</w:t>
      </w:r>
      <w:r w:rsidRPr="00B758F2">
        <w:rPr>
          <w:rFonts w:ascii="Arial" w:hAnsi="Arial" w:cs="Arial"/>
        </w:rPr>
        <w:t>.</w:t>
      </w:r>
    </w:p>
    <w:bookmarkEnd w:id="9"/>
    <w:bookmarkEnd w:id="10"/>
    <w:bookmarkEnd w:id="11"/>
    <w:bookmarkEnd w:id="12"/>
    <w:p w:rsidR="00C27720" w:rsidRPr="00B758F2" w:rsidRDefault="00C27720" w:rsidP="00C27720">
      <w:pPr>
        <w:pStyle w:val="a"/>
        <w:tabs>
          <w:tab w:val="clear" w:pos="540"/>
          <w:tab w:val="left" w:pos="567"/>
        </w:tabs>
        <w:spacing w:before="0"/>
        <w:ind w:left="567" w:firstLine="0"/>
        <w:rPr>
          <w:rFonts w:ascii="Arial" w:hAnsi="Arial" w:cs="Arial"/>
        </w:rPr>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bookmarkStart w:id="13" w:name="_Toc55020147"/>
      <w:bookmarkStart w:id="14" w:name="_Toc527367159"/>
      <w:bookmarkStart w:id="15" w:name="_Toc484234268"/>
      <w:r w:rsidRPr="00B758F2">
        <w:rPr>
          <w:rFonts w:ascii="Arial" w:hAnsi="Arial" w:cs="Arial"/>
          <w:b/>
          <w:sz w:val="20"/>
          <w:szCs w:val="20"/>
        </w:rPr>
        <w:t>Suspension of an A</w:t>
      </w:r>
      <w:r w:rsidR="000D531B" w:rsidRPr="00B758F2">
        <w:rPr>
          <w:rFonts w:ascii="Arial" w:hAnsi="Arial" w:cs="Arial"/>
          <w:b/>
          <w:sz w:val="20"/>
          <w:szCs w:val="20"/>
        </w:rPr>
        <w:t>ward</w:t>
      </w:r>
      <w:bookmarkEnd w:id="13"/>
      <w:bookmarkEnd w:id="14"/>
      <w:bookmarkEnd w:id="15"/>
    </w:p>
    <w:p w:rsidR="00300B06" w:rsidRPr="00B758F2" w:rsidRDefault="00300B06" w:rsidP="00A1147C">
      <w:pPr>
        <w:pStyle w:val="BodyText1"/>
      </w:pPr>
    </w:p>
    <w:p w:rsidR="00B03F3A" w:rsidRPr="00B758F2" w:rsidRDefault="00B03F3A" w:rsidP="00F527CB">
      <w:pPr>
        <w:pStyle w:val="BodyText1"/>
        <w:numPr>
          <w:ilvl w:val="0"/>
          <w:numId w:val="12"/>
        </w:numPr>
        <w:ind w:left="567" w:hanging="567"/>
      </w:pPr>
      <w:r w:rsidRPr="00B758F2">
        <w:t>A</w:t>
      </w:r>
      <w:r w:rsidR="000D531B" w:rsidRPr="00B758F2">
        <w:t>ward</w:t>
      </w:r>
      <w:r w:rsidRPr="00B758F2">
        <w:t xml:space="preserve"> holders may apply for a suspension of their A</w:t>
      </w:r>
      <w:r w:rsidR="000D531B" w:rsidRPr="00B758F2">
        <w:t>ward</w:t>
      </w:r>
      <w:r w:rsidRPr="00B758F2">
        <w:t xml:space="preserve"> for up to twelve months.  The approval of suspensions will b</w:t>
      </w:r>
      <w:r w:rsidR="00773577" w:rsidRPr="00B758F2">
        <w:t xml:space="preserve">e at the discretion of </w:t>
      </w:r>
      <w:r w:rsidR="00FB48A3" w:rsidRPr="00B758F2">
        <w:t>the</w:t>
      </w:r>
      <w:r w:rsidR="003458C1" w:rsidRPr="00B758F2">
        <w:t xml:space="preserve"> University</w:t>
      </w:r>
      <w:r w:rsidR="00773577" w:rsidRPr="00B758F2">
        <w:t>.</w:t>
      </w:r>
      <w:r w:rsidR="00805A69">
        <w:t xml:space="preserve"> </w:t>
      </w:r>
      <w:r w:rsidRPr="00B758F2">
        <w:t>In exceptional circumstances, students may apply for suspensions beyond twelve months, but any suspensions beyond twelve months must be approved by the Associate Deputy Vice Chancellor, Research</w:t>
      </w:r>
      <w:r w:rsidR="003458C1" w:rsidRPr="00B758F2">
        <w:t xml:space="preserve"> Training</w:t>
      </w:r>
      <w:r w:rsidRPr="00B758F2">
        <w:t>, who must be satisfied that the exceptional circumstances are beyond the student’s control and warrant a further suspension of the A</w:t>
      </w:r>
      <w:r w:rsidR="000D531B" w:rsidRPr="00B758F2">
        <w:t>ward</w:t>
      </w:r>
      <w:r w:rsidRPr="00B758F2">
        <w:t>.</w:t>
      </w:r>
    </w:p>
    <w:p w:rsidR="00773577" w:rsidRPr="00B758F2" w:rsidRDefault="00773577" w:rsidP="00F527CB">
      <w:pPr>
        <w:pStyle w:val="BodyText1"/>
        <w:ind w:left="567" w:hanging="567"/>
      </w:pPr>
    </w:p>
    <w:p w:rsidR="00CF215E" w:rsidRPr="00B758F2" w:rsidRDefault="00B03F3A" w:rsidP="00F527CB">
      <w:pPr>
        <w:pStyle w:val="BodyText1"/>
        <w:numPr>
          <w:ilvl w:val="0"/>
          <w:numId w:val="12"/>
        </w:numPr>
        <w:ind w:left="567" w:hanging="567"/>
      </w:pPr>
      <w:r w:rsidRPr="00B758F2">
        <w:t>A</w:t>
      </w:r>
      <w:r w:rsidR="000D531B" w:rsidRPr="00B758F2">
        <w:t>ward</w:t>
      </w:r>
      <w:r w:rsidRPr="00B758F2">
        <w:t xml:space="preserve"> holders </w:t>
      </w:r>
      <w:r w:rsidR="00265768" w:rsidRPr="00B758F2">
        <w:t>are not</w:t>
      </w:r>
      <w:r w:rsidRPr="00B758F2">
        <w:t xml:space="preserve"> normally</w:t>
      </w:r>
      <w:r w:rsidR="00265768" w:rsidRPr="00B758F2">
        <w:t xml:space="preserve"> </w:t>
      </w:r>
      <w:r w:rsidRPr="00B758F2">
        <w:t>allowed suspen</w:t>
      </w:r>
      <w:r w:rsidR="00C43AC8" w:rsidRPr="00B758F2">
        <w:t>sion of</w:t>
      </w:r>
      <w:r w:rsidR="00265768" w:rsidRPr="00B758F2">
        <w:t xml:space="preserve"> </w:t>
      </w:r>
      <w:r w:rsidRPr="00B758F2">
        <w:t>their scholarship within six months of taking up the award or prior to having their candidacy approved.</w:t>
      </w:r>
    </w:p>
    <w:p w:rsidR="00CF215E" w:rsidRPr="00B758F2" w:rsidRDefault="00CF215E" w:rsidP="00F527CB">
      <w:pPr>
        <w:pStyle w:val="BodyText1"/>
        <w:ind w:left="567" w:hanging="567"/>
      </w:pPr>
    </w:p>
    <w:p w:rsidR="00710BF4" w:rsidRPr="00B758F2" w:rsidRDefault="00B03F3A" w:rsidP="00F527CB">
      <w:pPr>
        <w:pStyle w:val="BodyText1"/>
        <w:numPr>
          <w:ilvl w:val="0"/>
          <w:numId w:val="12"/>
        </w:numPr>
        <w:ind w:left="567" w:hanging="567"/>
      </w:pPr>
      <w:r w:rsidRPr="00B758F2">
        <w:t xml:space="preserve">Periods of suspension </w:t>
      </w:r>
      <w:r w:rsidR="00FB0FE6" w:rsidRPr="00B758F2">
        <w:t xml:space="preserve">approved pursuant to </w:t>
      </w:r>
      <w:r w:rsidR="00926A2D" w:rsidRPr="00C430B7">
        <w:t>Section</w:t>
      </w:r>
      <w:r w:rsidR="00405746" w:rsidRPr="00C430B7">
        <w:t xml:space="preserve"> 4</w:t>
      </w:r>
      <w:r w:rsidR="00606131" w:rsidRPr="00C430B7">
        <w:t>(a)</w:t>
      </w:r>
      <w:r w:rsidR="00606131" w:rsidRPr="00B758F2">
        <w:t xml:space="preserve"> </w:t>
      </w:r>
      <w:r w:rsidRPr="00B758F2">
        <w:t>should be covered by a Leave of Absence to cease the enrolment as periods of study undertaken towards the degree during suspension of the A</w:t>
      </w:r>
      <w:r w:rsidR="000D531B" w:rsidRPr="00B758F2">
        <w:t>ward</w:t>
      </w:r>
      <w:r w:rsidRPr="00B758F2">
        <w:t xml:space="preserve"> must be deducted from the maximum period of its tenure.</w:t>
      </w:r>
    </w:p>
    <w:p w:rsidR="00710BF4" w:rsidRPr="00B758F2" w:rsidRDefault="00710BF4" w:rsidP="00F527CB">
      <w:pPr>
        <w:pStyle w:val="ListParagraph"/>
        <w:ind w:left="567" w:hanging="567"/>
      </w:pPr>
    </w:p>
    <w:p w:rsidR="00E83126" w:rsidRPr="00B758F2" w:rsidRDefault="00EF3993" w:rsidP="00F527CB">
      <w:pPr>
        <w:pStyle w:val="BodyText1"/>
        <w:numPr>
          <w:ilvl w:val="0"/>
          <w:numId w:val="12"/>
        </w:numPr>
        <w:ind w:left="567" w:hanging="567"/>
      </w:pPr>
      <w:r w:rsidRPr="00B758F2">
        <w:lastRenderedPageBreak/>
        <w:t>The University may suspend the A</w:t>
      </w:r>
      <w:r w:rsidR="000D531B" w:rsidRPr="00B758F2">
        <w:t>ward</w:t>
      </w:r>
      <w:r w:rsidRPr="00B758F2">
        <w:t xml:space="preserve"> </w:t>
      </w:r>
      <w:r w:rsidR="0037515B" w:rsidRPr="00B758F2">
        <w:t xml:space="preserve">after an </w:t>
      </w:r>
      <w:r w:rsidR="000D531B" w:rsidRPr="00B758F2">
        <w:t>awardee</w:t>
      </w:r>
      <w:r w:rsidRPr="00B758F2">
        <w:t xml:space="preserve"> on conditional status, with specified conditions to be met within a specified time has failed to meet </w:t>
      </w:r>
      <w:r w:rsidR="00B91367" w:rsidRPr="00B758F2">
        <w:t xml:space="preserve">those </w:t>
      </w:r>
      <w:r w:rsidRPr="00B758F2">
        <w:t>conditions on the A</w:t>
      </w:r>
      <w:r w:rsidR="000D531B" w:rsidRPr="00B758F2">
        <w:t>ward</w:t>
      </w:r>
      <w:r w:rsidRPr="00B758F2">
        <w:t xml:space="preserve"> holder within the specified time.</w:t>
      </w:r>
    </w:p>
    <w:p w:rsidR="00CF215E" w:rsidRPr="00B758F2" w:rsidRDefault="00CF215E" w:rsidP="00F527CB">
      <w:pPr>
        <w:pStyle w:val="BodyText1"/>
        <w:ind w:left="567" w:hanging="567"/>
      </w:pPr>
    </w:p>
    <w:p w:rsidR="00E83126" w:rsidRPr="00B758F2" w:rsidRDefault="007E718D" w:rsidP="00F527CB">
      <w:pPr>
        <w:pStyle w:val="BodyText1"/>
        <w:numPr>
          <w:ilvl w:val="0"/>
          <w:numId w:val="12"/>
        </w:numPr>
        <w:ind w:left="567" w:hanging="567"/>
      </w:pPr>
      <w:r w:rsidRPr="00B758F2">
        <w:t xml:space="preserve">No stipend will be back paid during the suspension period if a student is re-instated afterwards.  </w:t>
      </w:r>
    </w:p>
    <w:p w:rsidR="00EF3993" w:rsidRPr="00B758F2" w:rsidRDefault="00EF3993" w:rsidP="00A1147C">
      <w:pPr>
        <w:pStyle w:val="BodyText1"/>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bookmarkStart w:id="16" w:name="_Toc55020149"/>
      <w:bookmarkStart w:id="17" w:name="_Toc527367161"/>
      <w:r w:rsidRPr="00B758F2">
        <w:rPr>
          <w:rFonts w:ascii="Arial" w:hAnsi="Arial" w:cs="Arial"/>
          <w:b/>
          <w:sz w:val="20"/>
          <w:szCs w:val="20"/>
        </w:rPr>
        <w:t>Transfer of an A</w:t>
      </w:r>
      <w:r w:rsidR="000D531B" w:rsidRPr="00B758F2">
        <w:rPr>
          <w:rFonts w:ascii="Arial" w:hAnsi="Arial" w:cs="Arial"/>
          <w:b/>
          <w:sz w:val="20"/>
          <w:szCs w:val="20"/>
        </w:rPr>
        <w:t>ward</w:t>
      </w:r>
      <w:bookmarkEnd w:id="16"/>
      <w:bookmarkEnd w:id="17"/>
    </w:p>
    <w:p w:rsidR="00773577" w:rsidRPr="00B758F2" w:rsidRDefault="00773577" w:rsidP="00A1147C">
      <w:pPr>
        <w:pStyle w:val="BodyText1"/>
      </w:pPr>
    </w:p>
    <w:p w:rsidR="00300B06" w:rsidRPr="00B758F2" w:rsidRDefault="000D531B" w:rsidP="00A1147C">
      <w:pPr>
        <w:pStyle w:val="BodyText1"/>
      </w:pPr>
      <w:r w:rsidRPr="00B758F2">
        <w:t xml:space="preserve">This award is not transferrable. </w:t>
      </w:r>
    </w:p>
    <w:p w:rsidR="00300B06" w:rsidRPr="00B758F2" w:rsidRDefault="00300B06" w:rsidP="00A1147C">
      <w:pPr>
        <w:pStyle w:val="BodyText1"/>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bookmarkStart w:id="18" w:name="_Toc55020150"/>
      <w:bookmarkStart w:id="19" w:name="_Toc527367162"/>
      <w:bookmarkEnd w:id="7"/>
      <w:bookmarkEnd w:id="8"/>
      <w:r w:rsidRPr="00B758F2">
        <w:rPr>
          <w:rFonts w:ascii="Arial" w:hAnsi="Arial" w:cs="Arial"/>
          <w:b/>
          <w:sz w:val="20"/>
          <w:szCs w:val="20"/>
        </w:rPr>
        <w:t>Termination</w:t>
      </w:r>
      <w:bookmarkEnd w:id="18"/>
    </w:p>
    <w:bookmarkEnd w:id="19"/>
    <w:p w:rsidR="00300B06" w:rsidRPr="00B758F2" w:rsidRDefault="00300B06" w:rsidP="00A1147C">
      <w:pPr>
        <w:pStyle w:val="BodyText1"/>
      </w:pPr>
    </w:p>
    <w:p w:rsidR="00B03F3A" w:rsidRPr="00B758F2" w:rsidRDefault="00B03F3A" w:rsidP="009348E7">
      <w:pPr>
        <w:pStyle w:val="BodyText1"/>
        <w:numPr>
          <w:ilvl w:val="0"/>
          <w:numId w:val="14"/>
        </w:numPr>
        <w:ind w:left="567" w:hanging="567"/>
      </w:pPr>
      <w:r w:rsidRPr="00B758F2">
        <w:t>An A</w:t>
      </w:r>
      <w:r w:rsidR="000D531B" w:rsidRPr="00B758F2">
        <w:t>ward</w:t>
      </w:r>
      <w:r w:rsidRPr="00B758F2">
        <w:t xml:space="preserve"> must be terminated:</w:t>
      </w:r>
    </w:p>
    <w:p w:rsidR="003E35E8" w:rsidRPr="00B758F2" w:rsidRDefault="003E35E8" w:rsidP="00A1147C">
      <w:pPr>
        <w:pStyle w:val="BodyText1"/>
      </w:pPr>
    </w:p>
    <w:p w:rsidR="00B03F3A" w:rsidRPr="00B758F2" w:rsidRDefault="00B03F3A" w:rsidP="00551F72">
      <w:pPr>
        <w:pStyle w:val="i"/>
        <w:numPr>
          <w:ilvl w:val="0"/>
          <w:numId w:val="15"/>
        </w:numPr>
        <w:tabs>
          <w:tab w:val="clear" w:pos="1080"/>
          <w:tab w:val="left" w:pos="1134"/>
        </w:tabs>
        <w:spacing w:before="0"/>
        <w:ind w:left="1134" w:hanging="567"/>
        <w:rPr>
          <w:rFonts w:ascii="Arial" w:hAnsi="Arial" w:cs="Arial"/>
        </w:rPr>
      </w:pPr>
      <w:r w:rsidRPr="00B758F2">
        <w:rPr>
          <w:rFonts w:ascii="Arial" w:hAnsi="Arial" w:cs="Arial"/>
        </w:rPr>
        <w:t>if the student ceases to meet the eligibility req</w:t>
      </w:r>
      <w:r w:rsidR="00805A69">
        <w:rPr>
          <w:rFonts w:ascii="Arial" w:hAnsi="Arial" w:cs="Arial"/>
        </w:rPr>
        <w:t>uirements specified in section 3</w:t>
      </w:r>
      <w:r w:rsidRPr="00B758F2">
        <w:rPr>
          <w:rFonts w:ascii="Arial" w:hAnsi="Arial" w:cs="Arial"/>
        </w:rPr>
        <w:t xml:space="preserve"> of these Conditions, other than during a period in which the A</w:t>
      </w:r>
      <w:r w:rsidR="000D531B" w:rsidRPr="00B758F2">
        <w:rPr>
          <w:rFonts w:ascii="Arial" w:hAnsi="Arial" w:cs="Arial"/>
        </w:rPr>
        <w:t>ward</w:t>
      </w:r>
      <w:r w:rsidRPr="00B758F2">
        <w:rPr>
          <w:rFonts w:ascii="Arial" w:hAnsi="Arial" w:cs="Arial"/>
        </w:rPr>
        <w:t xml:space="preserve"> has been suspended </w:t>
      </w:r>
      <w:r w:rsidR="00F23139" w:rsidRPr="00B758F2">
        <w:rPr>
          <w:rFonts w:ascii="Arial" w:hAnsi="Arial" w:cs="Arial"/>
        </w:rPr>
        <w:t xml:space="preserve">pursuant to </w:t>
      </w:r>
      <w:r w:rsidR="00926A2D" w:rsidRPr="00C430B7">
        <w:rPr>
          <w:rFonts w:ascii="Arial" w:hAnsi="Arial" w:cs="Arial"/>
        </w:rPr>
        <w:t>Section</w:t>
      </w:r>
      <w:r w:rsidR="00FB0FE6" w:rsidRPr="00C430B7">
        <w:rPr>
          <w:rFonts w:ascii="Arial" w:hAnsi="Arial" w:cs="Arial"/>
        </w:rPr>
        <w:t xml:space="preserve"> </w:t>
      </w:r>
      <w:r w:rsidR="00E609C5" w:rsidRPr="00C430B7">
        <w:rPr>
          <w:rFonts w:ascii="Arial" w:hAnsi="Arial" w:cs="Arial"/>
        </w:rPr>
        <w:t>4</w:t>
      </w:r>
      <w:r w:rsidR="00F23139" w:rsidRPr="00C430B7">
        <w:rPr>
          <w:rFonts w:ascii="Arial" w:hAnsi="Arial" w:cs="Arial"/>
        </w:rPr>
        <w:t>(a)</w:t>
      </w:r>
      <w:r w:rsidR="00F23139" w:rsidRPr="00B758F2">
        <w:rPr>
          <w:rFonts w:ascii="Arial" w:hAnsi="Arial" w:cs="Arial"/>
        </w:rPr>
        <w:t xml:space="preserve"> </w:t>
      </w:r>
      <w:r w:rsidRPr="00B758F2">
        <w:rPr>
          <w:rFonts w:ascii="Arial" w:hAnsi="Arial" w:cs="Arial"/>
        </w:rPr>
        <w:t>or during a period of leave;</w:t>
      </w:r>
    </w:p>
    <w:p w:rsidR="003E35E8" w:rsidRPr="00B758F2" w:rsidRDefault="003E35E8" w:rsidP="003E35E8">
      <w:pPr>
        <w:pStyle w:val="i"/>
        <w:tabs>
          <w:tab w:val="clear" w:pos="1080"/>
          <w:tab w:val="left" w:pos="1134"/>
        </w:tabs>
        <w:spacing w:before="0"/>
        <w:ind w:left="1134" w:firstLine="0"/>
        <w:rPr>
          <w:rFonts w:ascii="Arial" w:hAnsi="Arial" w:cs="Arial"/>
        </w:rPr>
      </w:pPr>
    </w:p>
    <w:p w:rsidR="00B03F3A" w:rsidRPr="00B758F2" w:rsidRDefault="00B03F3A" w:rsidP="00551F72">
      <w:pPr>
        <w:pStyle w:val="i"/>
        <w:numPr>
          <w:ilvl w:val="0"/>
          <w:numId w:val="15"/>
        </w:numPr>
        <w:tabs>
          <w:tab w:val="clear" w:pos="1080"/>
          <w:tab w:val="left" w:pos="1134"/>
        </w:tabs>
        <w:spacing w:before="0"/>
        <w:ind w:left="1134" w:hanging="567"/>
        <w:rPr>
          <w:rFonts w:ascii="Arial" w:hAnsi="Arial" w:cs="Arial"/>
        </w:rPr>
      </w:pPr>
      <w:r w:rsidRPr="00B758F2">
        <w:rPr>
          <w:rFonts w:ascii="Arial" w:hAnsi="Arial" w:cs="Arial"/>
        </w:rPr>
        <w:t xml:space="preserve">if, in the opinion of </w:t>
      </w:r>
      <w:r w:rsidR="00FB48A3" w:rsidRPr="00B758F2">
        <w:rPr>
          <w:rFonts w:ascii="Arial" w:hAnsi="Arial" w:cs="Arial"/>
        </w:rPr>
        <w:t>the</w:t>
      </w:r>
      <w:r w:rsidR="003458C1" w:rsidRPr="00B758F2">
        <w:rPr>
          <w:rFonts w:ascii="Arial" w:hAnsi="Arial" w:cs="Arial"/>
        </w:rPr>
        <w:t xml:space="preserve"> University</w:t>
      </w:r>
      <w:r w:rsidRPr="00B758F2">
        <w:rPr>
          <w:rFonts w:ascii="Arial" w:hAnsi="Arial" w:cs="Arial"/>
        </w:rPr>
        <w:t xml:space="preserve">, the course of study is not being carried out with competence and diligence or in accordance with the offer of the </w:t>
      </w:r>
      <w:r w:rsidR="000D531B" w:rsidRPr="00B758F2">
        <w:rPr>
          <w:rFonts w:ascii="Arial" w:hAnsi="Arial" w:cs="Arial"/>
        </w:rPr>
        <w:t>award</w:t>
      </w:r>
      <w:r w:rsidRPr="00B758F2">
        <w:rPr>
          <w:rFonts w:ascii="Arial" w:hAnsi="Arial" w:cs="Arial"/>
        </w:rPr>
        <w:t xml:space="preserve">; </w:t>
      </w:r>
    </w:p>
    <w:p w:rsidR="003E35E8" w:rsidRPr="00B758F2" w:rsidRDefault="003E35E8" w:rsidP="003E35E8">
      <w:pPr>
        <w:pStyle w:val="i"/>
        <w:tabs>
          <w:tab w:val="clear" w:pos="1080"/>
          <w:tab w:val="left" w:pos="1134"/>
        </w:tabs>
        <w:spacing w:before="0"/>
        <w:ind w:left="1134" w:firstLine="0"/>
        <w:rPr>
          <w:rFonts w:ascii="Arial" w:hAnsi="Arial" w:cs="Arial"/>
        </w:rPr>
      </w:pPr>
    </w:p>
    <w:p w:rsidR="00B03F3A" w:rsidRPr="00B758F2" w:rsidRDefault="00B03F3A" w:rsidP="00551F72">
      <w:pPr>
        <w:pStyle w:val="i"/>
        <w:numPr>
          <w:ilvl w:val="0"/>
          <w:numId w:val="15"/>
        </w:numPr>
        <w:tabs>
          <w:tab w:val="clear" w:pos="1080"/>
          <w:tab w:val="left" w:pos="1134"/>
        </w:tabs>
        <w:spacing w:before="0"/>
        <w:ind w:left="1134" w:hanging="567"/>
        <w:rPr>
          <w:rFonts w:ascii="Arial" w:hAnsi="Arial" w:cs="Arial"/>
        </w:rPr>
      </w:pPr>
      <w:r w:rsidRPr="00B758F2">
        <w:rPr>
          <w:rFonts w:ascii="Arial" w:hAnsi="Arial" w:cs="Arial"/>
        </w:rPr>
        <w:t xml:space="preserve">if </w:t>
      </w:r>
      <w:r w:rsidR="00FB48A3" w:rsidRPr="00B758F2">
        <w:rPr>
          <w:rFonts w:ascii="Arial" w:hAnsi="Arial" w:cs="Arial"/>
        </w:rPr>
        <w:t>the</w:t>
      </w:r>
      <w:r w:rsidRPr="00B758F2">
        <w:rPr>
          <w:rFonts w:ascii="Arial" w:hAnsi="Arial" w:cs="Arial"/>
        </w:rPr>
        <w:t xml:space="preserve"> </w:t>
      </w:r>
      <w:r w:rsidR="003458C1" w:rsidRPr="00B758F2">
        <w:rPr>
          <w:rFonts w:ascii="Arial" w:hAnsi="Arial" w:cs="Arial"/>
        </w:rPr>
        <w:t xml:space="preserve">University </w:t>
      </w:r>
      <w:r w:rsidRPr="00B758F2">
        <w:rPr>
          <w:rFonts w:ascii="Arial" w:hAnsi="Arial" w:cs="Arial"/>
        </w:rPr>
        <w:t>determines that a student has committed serious misconduct, including but not limited to the provision of false or misleading information in terms of Section 1</w:t>
      </w:r>
      <w:r w:rsidR="00E609C5">
        <w:rPr>
          <w:rFonts w:ascii="Arial" w:hAnsi="Arial" w:cs="Arial"/>
        </w:rPr>
        <w:t>5</w:t>
      </w:r>
      <w:r w:rsidRPr="00B758F2">
        <w:rPr>
          <w:rFonts w:ascii="Arial" w:hAnsi="Arial" w:cs="Arial"/>
        </w:rPr>
        <w:t xml:space="preserve"> of these Conditions; </w:t>
      </w:r>
    </w:p>
    <w:p w:rsidR="003E35E8" w:rsidRPr="00B758F2" w:rsidRDefault="003E35E8" w:rsidP="003E35E8">
      <w:pPr>
        <w:pStyle w:val="i"/>
        <w:tabs>
          <w:tab w:val="clear" w:pos="1080"/>
          <w:tab w:val="left" w:pos="1134"/>
        </w:tabs>
        <w:spacing w:before="0"/>
        <w:ind w:left="1134" w:firstLine="0"/>
        <w:rPr>
          <w:rFonts w:ascii="Arial" w:hAnsi="Arial" w:cs="Arial"/>
        </w:rPr>
      </w:pPr>
    </w:p>
    <w:p w:rsidR="00B03F3A" w:rsidRPr="00B758F2" w:rsidRDefault="00B03F3A" w:rsidP="00551F72">
      <w:pPr>
        <w:pStyle w:val="i"/>
        <w:numPr>
          <w:ilvl w:val="0"/>
          <w:numId w:val="15"/>
        </w:numPr>
        <w:tabs>
          <w:tab w:val="clear" w:pos="1080"/>
          <w:tab w:val="left" w:pos="1134"/>
        </w:tabs>
        <w:spacing w:before="0"/>
        <w:ind w:left="1134" w:hanging="567"/>
        <w:rPr>
          <w:rFonts w:ascii="Arial" w:hAnsi="Arial" w:cs="Arial"/>
        </w:rPr>
      </w:pPr>
      <w:r w:rsidRPr="00B758F2">
        <w:rPr>
          <w:rFonts w:ascii="Arial" w:hAnsi="Arial" w:cs="Arial"/>
        </w:rPr>
        <w:t xml:space="preserve">when the student ceases to be a full-time student and when approval has not been obtained from the institution to hold the </w:t>
      </w:r>
      <w:r w:rsidR="000D531B" w:rsidRPr="00B758F2">
        <w:rPr>
          <w:rFonts w:ascii="Arial" w:hAnsi="Arial" w:cs="Arial"/>
        </w:rPr>
        <w:t xml:space="preserve">award </w:t>
      </w:r>
      <w:r w:rsidRPr="00B758F2">
        <w:rPr>
          <w:rFonts w:ascii="Arial" w:hAnsi="Arial" w:cs="Arial"/>
        </w:rPr>
        <w:t>on a part-time basis;</w:t>
      </w:r>
    </w:p>
    <w:p w:rsidR="003E35E8" w:rsidRPr="00B758F2" w:rsidRDefault="003E35E8" w:rsidP="003E35E8">
      <w:pPr>
        <w:pStyle w:val="i"/>
        <w:tabs>
          <w:tab w:val="clear" w:pos="1080"/>
          <w:tab w:val="left" w:pos="1134"/>
        </w:tabs>
        <w:spacing w:before="0"/>
        <w:ind w:left="1134" w:firstLine="0"/>
        <w:rPr>
          <w:rFonts w:ascii="Arial" w:hAnsi="Arial" w:cs="Arial"/>
        </w:rPr>
      </w:pPr>
    </w:p>
    <w:p w:rsidR="00B03F3A" w:rsidRPr="00B758F2" w:rsidRDefault="00B03F3A" w:rsidP="00551F72">
      <w:pPr>
        <w:pStyle w:val="i"/>
        <w:numPr>
          <w:ilvl w:val="0"/>
          <w:numId w:val="15"/>
        </w:numPr>
        <w:tabs>
          <w:tab w:val="clear" w:pos="1080"/>
          <w:tab w:val="left" w:pos="1134"/>
        </w:tabs>
        <w:spacing w:before="0"/>
        <w:ind w:left="1134" w:hanging="567"/>
        <w:rPr>
          <w:rFonts w:ascii="Arial" w:hAnsi="Arial" w:cs="Arial"/>
        </w:rPr>
      </w:pPr>
      <w:r w:rsidRPr="00B758F2">
        <w:rPr>
          <w:rFonts w:ascii="Arial" w:hAnsi="Arial" w:cs="Arial"/>
        </w:rPr>
        <w:t>on completion of the course of study, or the death, incapacity, resignation or withdrawal of the student undertaking a Doctoral degree</w:t>
      </w:r>
      <w:r w:rsidR="004B10FD" w:rsidRPr="00B758F2">
        <w:rPr>
          <w:rFonts w:ascii="Arial" w:hAnsi="Arial" w:cs="Arial"/>
        </w:rPr>
        <w:t>;</w:t>
      </w:r>
    </w:p>
    <w:p w:rsidR="003E35E8" w:rsidRPr="00B758F2" w:rsidRDefault="003E35E8" w:rsidP="003E35E8">
      <w:pPr>
        <w:pStyle w:val="i"/>
        <w:tabs>
          <w:tab w:val="clear" w:pos="1080"/>
          <w:tab w:val="left" w:pos="1134"/>
        </w:tabs>
        <w:spacing w:before="0"/>
        <w:ind w:left="1134" w:firstLine="0"/>
        <w:rPr>
          <w:rFonts w:ascii="Arial" w:hAnsi="Arial" w:cs="Arial"/>
        </w:rPr>
      </w:pPr>
    </w:p>
    <w:p w:rsidR="00B03F3A" w:rsidRPr="00B758F2" w:rsidRDefault="00B03F3A" w:rsidP="00551F72">
      <w:pPr>
        <w:pStyle w:val="i"/>
        <w:numPr>
          <w:ilvl w:val="0"/>
          <w:numId w:val="15"/>
        </w:numPr>
        <w:tabs>
          <w:tab w:val="clear" w:pos="1080"/>
          <w:tab w:val="left" w:pos="1134"/>
        </w:tabs>
        <w:spacing w:before="0"/>
        <w:ind w:left="1134" w:hanging="567"/>
        <w:rPr>
          <w:rFonts w:ascii="Arial" w:hAnsi="Arial" w:cs="Arial"/>
        </w:rPr>
      </w:pPr>
      <w:r w:rsidRPr="00B758F2">
        <w:rPr>
          <w:rFonts w:ascii="Arial" w:hAnsi="Arial" w:cs="Arial"/>
        </w:rPr>
        <w:t>if the A</w:t>
      </w:r>
      <w:r w:rsidR="004B10FD" w:rsidRPr="00B758F2">
        <w:rPr>
          <w:rFonts w:ascii="Arial" w:hAnsi="Arial" w:cs="Arial"/>
        </w:rPr>
        <w:t>ward</w:t>
      </w:r>
      <w:r w:rsidRPr="00B758F2">
        <w:rPr>
          <w:rFonts w:ascii="Arial" w:hAnsi="Arial" w:cs="Arial"/>
        </w:rPr>
        <w:t xml:space="preserve"> holder does not resume study at the conclusion of a period of suspension</w:t>
      </w:r>
      <w:r w:rsidR="00E61377" w:rsidRPr="00B758F2">
        <w:rPr>
          <w:rFonts w:ascii="Arial" w:hAnsi="Arial" w:cs="Arial"/>
        </w:rPr>
        <w:t xml:space="preserve"> pursuant to </w:t>
      </w:r>
      <w:r w:rsidR="00926A2D" w:rsidRPr="00C430B7">
        <w:rPr>
          <w:rFonts w:ascii="Arial" w:hAnsi="Arial" w:cs="Arial"/>
        </w:rPr>
        <w:t>Section</w:t>
      </w:r>
      <w:r w:rsidR="00E61377" w:rsidRPr="00C430B7">
        <w:rPr>
          <w:rFonts w:ascii="Arial" w:hAnsi="Arial" w:cs="Arial"/>
        </w:rPr>
        <w:t xml:space="preserve"> </w:t>
      </w:r>
      <w:r w:rsidR="00E609C5" w:rsidRPr="00C430B7">
        <w:rPr>
          <w:rFonts w:ascii="Arial" w:hAnsi="Arial" w:cs="Arial"/>
        </w:rPr>
        <w:t>4</w:t>
      </w:r>
      <w:r w:rsidR="00E61377" w:rsidRPr="00C430B7">
        <w:rPr>
          <w:rFonts w:ascii="Arial" w:hAnsi="Arial" w:cs="Arial"/>
        </w:rPr>
        <w:t>(a)</w:t>
      </w:r>
      <w:r w:rsidRPr="00C430B7">
        <w:rPr>
          <w:rFonts w:ascii="Arial" w:hAnsi="Arial" w:cs="Arial"/>
        </w:rPr>
        <w:t>,</w:t>
      </w:r>
      <w:r w:rsidRPr="00B758F2">
        <w:rPr>
          <w:rFonts w:ascii="Arial" w:hAnsi="Arial" w:cs="Arial"/>
        </w:rPr>
        <w:t xml:space="preserve"> or does not make arrangements to extend that period of suspension</w:t>
      </w:r>
      <w:r w:rsidR="00CD039E" w:rsidRPr="00B758F2">
        <w:rPr>
          <w:rFonts w:ascii="Arial" w:hAnsi="Arial" w:cs="Arial"/>
        </w:rPr>
        <w:t xml:space="preserve"> pursuant to </w:t>
      </w:r>
      <w:r w:rsidR="00926A2D" w:rsidRPr="00C430B7">
        <w:rPr>
          <w:rFonts w:ascii="Arial" w:hAnsi="Arial" w:cs="Arial"/>
        </w:rPr>
        <w:t>Section</w:t>
      </w:r>
      <w:r w:rsidR="00CD039E" w:rsidRPr="00C430B7">
        <w:rPr>
          <w:rFonts w:ascii="Arial" w:hAnsi="Arial" w:cs="Arial"/>
        </w:rPr>
        <w:t xml:space="preserve"> </w:t>
      </w:r>
      <w:r w:rsidR="00E609C5" w:rsidRPr="00C430B7">
        <w:rPr>
          <w:rFonts w:ascii="Arial" w:hAnsi="Arial" w:cs="Arial"/>
        </w:rPr>
        <w:t>4</w:t>
      </w:r>
      <w:r w:rsidR="00CD039E" w:rsidRPr="00C430B7">
        <w:rPr>
          <w:rFonts w:ascii="Arial" w:hAnsi="Arial" w:cs="Arial"/>
        </w:rPr>
        <w:t>(a)</w:t>
      </w:r>
      <w:r w:rsidRPr="00C430B7">
        <w:rPr>
          <w:rFonts w:ascii="Arial" w:hAnsi="Arial" w:cs="Arial"/>
        </w:rPr>
        <w:t>;</w:t>
      </w:r>
    </w:p>
    <w:p w:rsidR="003E35E8" w:rsidRPr="00B758F2" w:rsidRDefault="003E35E8" w:rsidP="003E35E8">
      <w:pPr>
        <w:pStyle w:val="i"/>
        <w:tabs>
          <w:tab w:val="clear" w:pos="1080"/>
          <w:tab w:val="left" w:pos="1134"/>
        </w:tabs>
        <w:spacing w:before="0"/>
        <w:ind w:left="1134" w:firstLine="0"/>
        <w:rPr>
          <w:rFonts w:ascii="Arial" w:hAnsi="Arial" w:cs="Arial"/>
        </w:rPr>
      </w:pPr>
    </w:p>
    <w:p w:rsidR="00B03F3A" w:rsidRPr="00FB622C" w:rsidRDefault="00B03F3A" w:rsidP="00551F72">
      <w:pPr>
        <w:pStyle w:val="i"/>
        <w:numPr>
          <w:ilvl w:val="0"/>
          <w:numId w:val="15"/>
        </w:numPr>
        <w:tabs>
          <w:tab w:val="clear" w:pos="1080"/>
          <w:tab w:val="left" w:pos="1134"/>
        </w:tabs>
        <w:spacing w:before="0"/>
        <w:ind w:left="1134" w:hanging="567"/>
        <w:rPr>
          <w:rFonts w:ascii="Arial" w:hAnsi="Arial" w:cs="Arial"/>
        </w:rPr>
      </w:pPr>
      <w:r w:rsidRPr="00FB622C">
        <w:rPr>
          <w:rFonts w:ascii="Arial" w:hAnsi="Arial" w:cs="Arial"/>
        </w:rPr>
        <w:t>if the A</w:t>
      </w:r>
      <w:r w:rsidR="004B10FD" w:rsidRPr="00FB622C">
        <w:rPr>
          <w:rFonts w:ascii="Arial" w:hAnsi="Arial" w:cs="Arial"/>
        </w:rPr>
        <w:t>ward</w:t>
      </w:r>
      <w:r w:rsidRPr="00FB622C">
        <w:rPr>
          <w:rFonts w:ascii="Arial" w:hAnsi="Arial" w:cs="Arial"/>
        </w:rPr>
        <w:t xml:space="preserve"> holder fails to maintain satisfactory progress</w:t>
      </w:r>
      <w:r w:rsidR="00710BF4" w:rsidRPr="00FB622C">
        <w:rPr>
          <w:rFonts w:ascii="Arial" w:hAnsi="Arial" w:cs="Arial"/>
        </w:rPr>
        <w:t xml:space="preserve"> including unsatisfactory progress as detailed in Section </w:t>
      </w:r>
      <w:r w:rsidR="00FB622C" w:rsidRPr="00FB622C">
        <w:rPr>
          <w:rFonts w:ascii="Arial" w:hAnsi="Arial" w:cs="Arial"/>
        </w:rPr>
        <w:t>6</w:t>
      </w:r>
      <w:r w:rsidR="00710BF4" w:rsidRPr="00FB622C">
        <w:rPr>
          <w:rFonts w:ascii="Arial" w:hAnsi="Arial" w:cs="Arial"/>
        </w:rPr>
        <w:t>(d);</w:t>
      </w:r>
    </w:p>
    <w:p w:rsidR="003E35E8" w:rsidRPr="00B758F2" w:rsidRDefault="003E35E8" w:rsidP="003E35E8">
      <w:pPr>
        <w:pStyle w:val="i"/>
        <w:tabs>
          <w:tab w:val="clear" w:pos="1080"/>
          <w:tab w:val="left" w:pos="1134"/>
        </w:tabs>
        <w:spacing w:before="0"/>
        <w:ind w:left="1134" w:firstLine="0"/>
        <w:rPr>
          <w:rFonts w:ascii="Arial" w:hAnsi="Arial" w:cs="Arial"/>
        </w:rPr>
      </w:pPr>
    </w:p>
    <w:p w:rsidR="00B03F3A" w:rsidRDefault="00B03F3A" w:rsidP="009348E7">
      <w:pPr>
        <w:pStyle w:val="BodyText1"/>
        <w:numPr>
          <w:ilvl w:val="0"/>
          <w:numId w:val="14"/>
        </w:numPr>
        <w:ind w:left="567" w:hanging="567"/>
      </w:pPr>
      <w:r w:rsidRPr="00B758F2">
        <w:t>If an A</w:t>
      </w:r>
      <w:r w:rsidR="004B10FD" w:rsidRPr="00B758F2">
        <w:t>ward</w:t>
      </w:r>
      <w:r w:rsidRPr="00B758F2">
        <w:t xml:space="preserve"> is terminated, it cannot be re-activated unless the termination occurred in error.  </w:t>
      </w:r>
    </w:p>
    <w:p w:rsidR="001E046E" w:rsidRPr="00B758F2" w:rsidRDefault="001E046E" w:rsidP="00A1147C">
      <w:pPr>
        <w:pStyle w:val="BodyText1"/>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bookmarkStart w:id="20" w:name="_STIPEND_AND_ALLOWANCES"/>
      <w:bookmarkStart w:id="21" w:name="_Toc527367160"/>
      <w:bookmarkStart w:id="22" w:name="_Toc55020148"/>
      <w:bookmarkStart w:id="23" w:name="_Toc418051010"/>
      <w:bookmarkStart w:id="24" w:name="_Toc418051018"/>
      <w:bookmarkEnd w:id="20"/>
      <w:r w:rsidRPr="00B758F2">
        <w:rPr>
          <w:rFonts w:ascii="Arial" w:hAnsi="Arial" w:cs="Arial"/>
          <w:b/>
          <w:sz w:val="20"/>
          <w:szCs w:val="20"/>
        </w:rPr>
        <w:tab/>
        <w:t>Eligibility for Concurrent Awards or Scholarships</w:t>
      </w:r>
      <w:bookmarkEnd w:id="21"/>
      <w:bookmarkEnd w:id="22"/>
    </w:p>
    <w:p w:rsidR="003E35E8" w:rsidRPr="00B758F2" w:rsidRDefault="003E35E8" w:rsidP="00A1147C">
      <w:pPr>
        <w:pStyle w:val="BodyText1"/>
      </w:pPr>
    </w:p>
    <w:p w:rsidR="00B03F3A" w:rsidRPr="00B758F2" w:rsidRDefault="00B03F3A" w:rsidP="009348E7">
      <w:pPr>
        <w:pStyle w:val="BodyText1"/>
        <w:numPr>
          <w:ilvl w:val="0"/>
          <w:numId w:val="16"/>
        </w:numPr>
        <w:ind w:left="567" w:hanging="567"/>
      </w:pPr>
      <w:r w:rsidRPr="00B758F2">
        <w:t>An A</w:t>
      </w:r>
      <w:r w:rsidR="004B10FD" w:rsidRPr="00B758F2">
        <w:t>ward</w:t>
      </w:r>
      <w:r w:rsidRPr="00B758F2">
        <w:t xml:space="preserve"> holder may receive a concurrent award or scholarship to undertake their research higher degree if:</w:t>
      </w:r>
    </w:p>
    <w:p w:rsidR="003E35E8" w:rsidRPr="00B758F2" w:rsidRDefault="003E35E8" w:rsidP="00A1147C">
      <w:pPr>
        <w:pStyle w:val="BodyText1"/>
      </w:pPr>
    </w:p>
    <w:p w:rsidR="00B03F3A" w:rsidRPr="00B758F2" w:rsidRDefault="00B03F3A" w:rsidP="00551F72">
      <w:pPr>
        <w:pStyle w:val="i"/>
        <w:numPr>
          <w:ilvl w:val="0"/>
          <w:numId w:val="17"/>
        </w:numPr>
        <w:tabs>
          <w:tab w:val="clear" w:pos="1080"/>
          <w:tab w:val="left" w:pos="1134"/>
        </w:tabs>
        <w:spacing w:before="0"/>
        <w:ind w:left="1134" w:hanging="567"/>
        <w:rPr>
          <w:rFonts w:ascii="Arial" w:hAnsi="Arial" w:cs="Arial"/>
        </w:rPr>
      </w:pPr>
      <w:r w:rsidRPr="00B758F2">
        <w:rPr>
          <w:rFonts w:ascii="Arial" w:hAnsi="Arial" w:cs="Arial"/>
        </w:rPr>
        <w:t>the concurrent award or scholarship provides a benefit less than 75% of the base stipend rate; or</w:t>
      </w:r>
    </w:p>
    <w:p w:rsidR="003E35E8" w:rsidRPr="00B758F2" w:rsidRDefault="003E35E8" w:rsidP="00551F72">
      <w:pPr>
        <w:pStyle w:val="i"/>
        <w:tabs>
          <w:tab w:val="clear" w:pos="1080"/>
          <w:tab w:val="left" w:pos="1134"/>
        </w:tabs>
        <w:spacing w:before="0"/>
        <w:ind w:left="1134" w:hanging="567"/>
        <w:rPr>
          <w:rFonts w:ascii="Arial" w:hAnsi="Arial" w:cs="Arial"/>
        </w:rPr>
      </w:pPr>
    </w:p>
    <w:p w:rsidR="00B03F3A" w:rsidRPr="00B758F2" w:rsidRDefault="00B03F3A" w:rsidP="00551F72">
      <w:pPr>
        <w:pStyle w:val="i"/>
        <w:numPr>
          <w:ilvl w:val="0"/>
          <w:numId w:val="17"/>
        </w:numPr>
        <w:tabs>
          <w:tab w:val="clear" w:pos="1080"/>
          <w:tab w:val="left" w:pos="1134"/>
        </w:tabs>
        <w:spacing w:before="0"/>
        <w:ind w:left="1134" w:hanging="567"/>
        <w:rPr>
          <w:rFonts w:ascii="Arial" w:hAnsi="Arial" w:cs="Arial"/>
        </w:rPr>
      </w:pPr>
      <w:r w:rsidRPr="00B758F2">
        <w:rPr>
          <w:rFonts w:ascii="Arial" w:hAnsi="Arial" w:cs="Arial"/>
        </w:rPr>
        <w:t xml:space="preserve">the </w:t>
      </w:r>
      <w:r w:rsidR="004B10FD" w:rsidRPr="00B758F2">
        <w:rPr>
          <w:rFonts w:ascii="Arial" w:hAnsi="Arial" w:cs="Arial"/>
        </w:rPr>
        <w:t xml:space="preserve">Award </w:t>
      </w:r>
      <w:r w:rsidRPr="00B758F2">
        <w:rPr>
          <w:rFonts w:ascii="Arial" w:hAnsi="Arial" w:cs="Arial"/>
        </w:rPr>
        <w:t xml:space="preserve">is suspended </w:t>
      </w:r>
      <w:r w:rsidR="00876E90" w:rsidRPr="00B758F2">
        <w:rPr>
          <w:rFonts w:ascii="Arial" w:hAnsi="Arial" w:cs="Arial"/>
        </w:rPr>
        <w:t xml:space="preserve">pursuant to </w:t>
      </w:r>
      <w:r w:rsidR="00926A2D" w:rsidRPr="00B758F2">
        <w:rPr>
          <w:rFonts w:ascii="Arial" w:hAnsi="Arial" w:cs="Arial"/>
        </w:rPr>
        <w:t>Section</w:t>
      </w:r>
      <w:r w:rsidR="00876E90" w:rsidRPr="00B758F2">
        <w:rPr>
          <w:rFonts w:ascii="Arial" w:hAnsi="Arial" w:cs="Arial"/>
        </w:rPr>
        <w:t xml:space="preserve"> </w:t>
      </w:r>
      <w:r w:rsidR="004B10FD" w:rsidRPr="00B758F2">
        <w:rPr>
          <w:rFonts w:ascii="Arial" w:hAnsi="Arial" w:cs="Arial"/>
        </w:rPr>
        <w:t>5</w:t>
      </w:r>
      <w:r w:rsidR="00876E90" w:rsidRPr="00B758F2">
        <w:rPr>
          <w:rFonts w:ascii="Arial" w:hAnsi="Arial" w:cs="Arial"/>
        </w:rPr>
        <w:t xml:space="preserve">(a) </w:t>
      </w:r>
      <w:r w:rsidRPr="00B758F2">
        <w:rPr>
          <w:rFonts w:ascii="Arial" w:hAnsi="Arial" w:cs="Arial"/>
        </w:rPr>
        <w:t>for the period of the concurrent award or scholarship and the period of study undertaken towards the research higher degree during suspension of the A</w:t>
      </w:r>
      <w:r w:rsidR="004B10FD" w:rsidRPr="00B758F2">
        <w:rPr>
          <w:rFonts w:ascii="Arial" w:hAnsi="Arial" w:cs="Arial"/>
        </w:rPr>
        <w:t>ward</w:t>
      </w:r>
      <w:r w:rsidRPr="00B758F2">
        <w:rPr>
          <w:rFonts w:ascii="Arial" w:hAnsi="Arial" w:cs="Arial"/>
        </w:rPr>
        <w:t xml:space="preserve"> is deducted from the maximum period of its tenure.</w:t>
      </w:r>
    </w:p>
    <w:p w:rsidR="003E35E8" w:rsidRPr="00B758F2" w:rsidRDefault="003E35E8" w:rsidP="00551F72">
      <w:pPr>
        <w:pStyle w:val="i"/>
        <w:tabs>
          <w:tab w:val="clear" w:pos="1080"/>
          <w:tab w:val="left" w:pos="1134"/>
        </w:tabs>
        <w:spacing w:before="0"/>
        <w:ind w:left="1134" w:hanging="567"/>
        <w:rPr>
          <w:rFonts w:ascii="Arial" w:hAnsi="Arial" w:cs="Arial"/>
        </w:rPr>
      </w:pPr>
    </w:p>
    <w:p w:rsidR="00B03F3A" w:rsidRPr="00B758F2" w:rsidRDefault="00B03F3A" w:rsidP="009348E7">
      <w:pPr>
        <w:pStyle w:val="BodyText1"/>
        <w:numPr>
          <w:ilvl w:val="0"/>
          <w:numId w:val="16"/>
        </w:numPr>
        <w:ind w:left="567" w:hanging="567"/>
      </w:pPr>
      <w:r w:rsidRPr="00B758F2">
        <w:t>Income earned from sources unrelated to the course of study is not subject to the 75% rule.</w:t>
      </w:r>
    </w:p>
    <w:p w:rsidR="003E35E8" w:rsidRPr="00B758F2" w:rsidRDefault="003E35E8" w:rsidP="00A1147C">
      <w:pPr>
        <w:pStyle w:val="BodyText1"/>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bookmarkStart w:id="25" w:name="_Toc484234273"/>
      <w:bookmarkStart w:id="26" w:name="_Toc55020160"/>
      <w:bookmarkStart w:id="27" w:name="_Toc527367172"/>
      <w:bookmarkEnd w:id="23"/>
      <w:bookmarkEnd w:id="24"/>
      <w:r w:rsidRPr="00B758F2">
        <w:rPr>
          <w:rFonts w:ascii="Arial" w:hAnsi="Arial" w:cs="Arial"/>
          <w:b/>
          <w:sz w:val="20"/>
          <w:szCs w:val="20"/>
        </w:rPr>
        <w:tab/>
        <w:t>L</w:t>
      </w:r>
      <w:bookmarkEnd w:id="25"/>
      <w:r w:rsidRPr="00B758F2">
        <w:rPr>
          <w:rFonts w:ascii="Arial" w:hAnsi="Arial" w:cs="Arial"/>
          <w:b/>
          <w:sz w:val="20"/>
          <w:szCs w:val="20"/>
        </w:rPr>
        <w:t>eave Entitlements</w:t>
      </w:r>
      <w:bookmarkEnd w:id="26"/>
      <w:bookmarkEnd w:id="27"/>
    </w:p>
    <w:p w:rsidR="00551F72" w:rsidRPr="00B758F2" w:rsidRDefault="00551F72" w:rsidP="004047A7">
      <w:pPr>
        <w:pStyle w:val="a"/>
        <w:spacing w:before="0"/>
        <w:ind w:hanging="539"/>
        <w:rPr>
          <w:rFonts w:ascii="Arial" w:hAnsi="Arial" w:cs="Arial"/>
        </w:rPr>
      </w:pPr>
    </w:p>
    <w:p w:rsidR="00B03F3A" w:rsidRPr="00B758F2" w:rsidRDefault="00B03F3A" w:rsidP="009348E7">
      <w:pPr>
        <w:pStyle w:val="BodyText1"/>
        <w:numPr>
          <w:ilvl w:val="0"/>
          <w:numId w:val="18"/>
        </w:numPr>
        <w:ind w:left="567" w:hanging="567"/>
      </w:pPr>
      <w:r w:rsidRPr="00B758F2">
        <w:t>A</w:t>
      </w:r>
      <w:r w:rsidR="004B10FD" w:rsidRPr="00B758F2">
        <w:t>ward</w:t>
      </w:r>
      <w:r w:rsidRPr="00B758F2">
        <w:t xml:space="preserve"> holders are entitled to the following leave entitlements.</w:t>
      </w:r>
    </w:p>
    <w:p w:rsidR="00551F72" w:rsidRPr="00B758F2" w:rsidRDefault="00551F72" w:rsidP="00A1147C">
      <w:pPr>
        <w:pStyle w:val="BodyText1"/>
      </w:pPr>
    </w:p>
    <w:p w:rsidR="00B03F3A" w:rsidRPr="00B758F2" w:rsidRDefault="00B03F3A" w:rsidP="00551F72">
      <w:pPr>
        <w:pStyle w:val="i"/>
        <w:numPr>
          <w:ilvl w:val="0"/>
          <w:numId w:val="19"/>
        </w:numPr>
        <w:tabs>
          <w:tab w:val="clear" w:pos="1080"/>
          <w:tab w:val="left" w:pos="1134"/>
        </w:tabs>
        <w:spacing w:before="0"/>
        <w:ind w:left="1134" w:hanging="567"/>
        <w:rPr>
          <w:rFonts w:ascii="Arial" w:hAnsi="Arial" w:cs="Arial"/>
        </w:rPr>
      </w:pPr>
      <w:r w:rsidRPr="00B758F2">
        <w:rPr>
          <w:rFonts w:ascii="Arial" w:hAnsi="Arial" w:cs="Arial"/>
        </w:rPr>
        <w:lastRenderedPageBreak/>
        <w:t>up to 20 working days paid recreation leave and 10 working days paid sick leave for each year of the A</w:t>
      </w:r>
      <w:r w:rsidR="004B10FD" w:rsidRPr="00B758F2">
        <w:rPr>
          <w:rFonts w:ascii="Arial" w:hAnsi="Arial" w:cs="Arial"/>
        </w:rPr>
        <w:t>ward</w:t>
      </w:r>
      <w:r w:rsidRPr="00B758F2">
        <w:rPr>
          <w:rFonts w:ascii="Arial" w:hAnsi="Arial" w:cs="Arial"/>
        </w:rPr>
        <w:t>.  The entitlements may be accrued over the life of the A</w:t>
      </w:r>
      <w:r w:rsidR="004B10FD" w:rsidRPr="00B758F2">
        <w:rPr>
          <w:rFonts w:ascii="Arial" w:hAnsi="Arial" w:cs="Arial"/>
        </w:rPr>
        <w:t>ward</w:t>
      </w:r>
      <w:r w:rsidRPr="00B758F2">
        <w:rPr>
          <w:rFonts w:ascii="Arial" w:hAnsi="Arial" w:cs="Arial"/>
        </w:rPr>
        <w:t xml:space="preserve"> but will be forfeited when the A</w:t>
      </w:r>
      <w:r w:rsidR="004B10FD" w:rsidRPr="00B758F2">
        <w:rPr>
          <w:rFonts w:ascii="Arial" w:hAnsi="Arial" w:cs="Arial"/>
        </w:rPr>
        <w:t>ward</w:t>
      </w:r>
      <w:r w:rsidRPr="00B758F2">
        <w:rPr>
          <w:rFonts w:ascii="Arial" w:hAnsi="Arial" w:cs="Arial"/>
        </w:rPr>
        <w:t xml:space="preserve"> is completed or terminated.</w:t>
      </w:r>
    </w:p>
    <w:p w:rsidR="00551F72" w:rsidRPr="00B758F2" w:rsidRDefault="00551F72" w:rsidP="00551F72">
      <w:pPr>
        <w:pStyle w:val="i"/>
        <w:tabs>
          <w:tab w:val="clear" w:pos="1080"/>
          <w:tab w:val="left" w:pos="1134"/>
        </w:tabs>
        <w:spacing w:before="0"/>
        <w:ind w:left="1134" w:firstLine="0"/>
        <w:rPr>
          <w:rFonts w:ascii="Arial" w:hAnsi="Arial" w:cs="Arial"/>
        </w:rPr>
      </w:pPr>
    </w:p>
    <w:p w:rsidR="00B03F3A" w:rsidRPr="00E609C5" w:rsidRDefault="00B03F3A" w:rsidP="00551F72">
      <w:pPr>
        <w:pStyle w:val="i"/>
        <w:numPr>
          <w:ilvl w:val="0"/>
          <w:numId w:val="19"/>
        </w:numPr>
        <w:tabs>
          <w:tab w:val="clear" w:pos="1080"/>
          <w:tab w:val="left" w:pos="1134"/>
        </w:tabs>
        <w:spacing w:before="0"/>
        <w:ind w:left="1134" w:hanging="567"/>
        <w:rPr>
          <w:rFonts w:ascii="Arial" w:hAnsi="Arial" w:cs="Arial"/>
        </w:rPr>
      </w:pPr>
      <w:r w:rsidRPr="00E609C5">
        <w:rPr>
          <w:rFonts w:ascii="Arial" w:hAnsi="Arial" w:cs="Arial"/>
        </w:rPr>
        <w:t>up to a total of twelve weeks additional paid sick leave during the life of the A</w:t>
      </w:r>
      <w:r w:rsidR="004B10FD" w:rsidRPr="00E609C5">
        <w:rPr>
          <w:rFonts w:ascii="Arial" w:hAnsi="Arial" w:cs="Arial"/>
        </w:rPr>
        <w:t>ward</w:t>
      </w:r>
      <w:r w:rsidRPr="00E609C5">
        <w:rPr>
          <w:rFonts w:ascii="Arial" w:hAnsi="Arial" w:cs="Arial"/>
        </w:rPr>
        <w:t xml:space="preserve"> for periods of illness lasting longer than ten days, for which a medical certificate has been provided.  Sick leave entitlements (including additional sick leave) may also be used to cover leave for students with family responsibilities. Students must take a leave of absence for </w:t>
      </w:r>
      <w:r w:rsidR="00551F72" w:rsidRPr="00E609C5">
        <w:rPr>
          <w:rFonts w:ascii="Arial" w:hAnsi="Arial" w:cs="Arial"/>
        </w:rPr>
        <w:t>periods of extended sick leave.</w:t>
      </w:r>
    </w:p>
    <w:p w:rsidR="00551F72" w:rsidRPr="00B758F2" w:rsidRDefault="00551F72" w:rsidP="00551F72">
      <w:pPr>
        <w:pStyle w:val="i"/>
        <w:tabs>
          <w:tab w:val="clear" w:pos="1080"/>
          <w:tab w:val="left" w:pos="1134"/>
        </w:tabs>
        <w:spacing w:before="0"/>
        <w:ind w:left="1134" w:firstLine="0"/>
        <w:rPr>
          <w:rFonts w:ascii="Arial" w:hAnsi="Arial" w:cs="Arial"/>
        </w:rPr>
      </w:pPr>
    </w:p>
    <w:p w:rsidR="00B03F3A" w:rsidRPr="00E609C5" w:rsidRDefault="00B03F3A" w:rsidP="00551F72">
      <w:pPr>
        <w:pStyle w:val="i"/>
        <w:numPr>
          <w:ilvl w:val="0"/>
          <w:numId w:val="19"/>
        </w:numPr>
        <w:tabs>
          <w:tab w:val="clear" w:pos="1080"/>
          <w:tab w:val="left" w:pos="1134"/>
        </w:tabs>
        <w:spacing w:before="0"/>
        <w:ind w:left="1134" w:hanging="567"/>
        <w:rPr>
          <w:rFonts w:ascii="Arial" w:hAnsi="Arial" w:cs="Arial"/>
        </w:rPr>
      </w:pPr>
      <w:r w:rsidRPr="00E609C5">
        <w:rPr>
          <w:rFonts w:ascii="Arial" w:hAnsi="Arial" w:cs="Arial"/>
        </w:rPr>
        <w:t>a maximum of 12 weeks paid maternity leave during the duration of the A</w:t>
      </w:r>
      <w:r w:rsidR="004B10FD" w:rsidRPr="00E609C5">
        <w:rPr>
          <w:rFonts w:ascii="Arial" w:hAnsi="Arial" w:cs="Arial"/>
        </w:rPr>
        <w:t>ward</w:t>
      </w:r>
      <w:r w:rsidRPr="00E609C5">
        <w:rPr>
          <w:rFonts w:ascii="Arial" w:hAnsi="Arial" w:cs="Arial"/>
        </w:rPr>
        <w:t xml:space="preserve"> for holders  who have completed 12 months of their A</w:t>
      </w:r>
      <w:r w:rsidR="004B10FD" w:rsidRPr="00E609C5">
        <w:rPr>
          <w:rFonts w:ascii="Arial" w:hAnsi="Arial" w:cs="Arial"/>
        </w:rPr>
        <w:t>ward</w:t>
      </w:r>
      <w:r w:rsidRPr="00E609C5">
        <w:rPr>
          <w:rFonts w:ascii="Arial" w:hAnsi="Arial" w:cs="Arial"/>
        </w:rPr>
        <w:t>.  Periods of paid maternity leave are in addition to the normal duration of the A</w:t>
      </w:r>
      <w:r w:rsidR="004B10FD" w:rsidRPr="00E609C5">
        <w:rPr>
          <w:rFonts w:ascii="Arial" w:hAnsi="Arial" w:cs="Arial"/>
        </w:rPr>
        <w:t>ward</w:t>
      </w:r>
      <w:r w:rsidRPr="00E609C5">
        <w:rPr>
          <w:rFonts w:ascii="Arial" w:hAnsi="Arial" w:cs="Arial"/>
        </w:rPr>
        <w:t>.  A</w:t>
      </w:r>
      <w:r w:rsidR="004B10FD" w:rsidRPr="00E609C5">
        <w:rPr>
          <w:rFonts w:ascii="Arial" w:hAnsi="Arial" w:cs="Arial"/>
        </w:rPr>
        <w:t>ward</w:t>
      </w:r>
      <w:r w:rsidRPr="00E609C5">
        <w:rPr>
          <w:rFonts w:ascii="Arial" w:hAnsi="Arial" w:cs="Arial"/>
        </w:rPr>
        <w:t xml:space="preserve"> holders who have not completed twelve months of their award may access unpaid maternity leave through the suspension provisions</w:t>
      </w:r>
      <w:r w:rsidR="00DD714D" w:rsidRPr="00E609C5">
        <w:rPr>
          <w:rFonts w:ascii="Arial" w:hAnsi="Arial" w:cs="Arial"/>
        </w:rPr>
        <w:t xml:space="preserve"> at </w:t>
      </w:r>
      <w:r w:rsidR="00926A2D" w:rsidRPr="00E609C5">
        <w:rPr>
          <w:rFonts w:ascii="Arial" w:hAnsi="Arial" w:cs="Arial"/>
        </w:rPr>
        <w:t>Section</w:t>
      </w:r>
      <w:r w:rsidR="00DD714D" w:rsidRPr="00E609C5">
        <w:rPr>
          <w:rFonts w:ascii="Arial" w:hAnsi="Arial" w:cs="Arial"/>
        </w:rPr>
        <w:t xml:space="preserve"> </w:t>
      </w:r>
      <w:r w:rsidR="004B10FD" w:rsidRPr="00E609C5">
        <w:rPr>
          <w:rFonts w:ascii="Arial" w:hAnsi="Arial" w:cs="Arial"/>
        </w:rPr>
        <w:t>5</w:t>
      </w:r>
      <w:r w:rsidR="00DD714D" w:rsidRPr="00E609C5">
        <w:rPr>
          <w:rFonts w:ascii="Arial" w:hAnsi="Arial" w:cs="Arial"/>
        </w:rPr>
        <w:t>(a)</w:t>
      </w:r>
      <w:r w:rsidRPr="00E609C5">
        <w:rPr>
          <w:rFonts w:ascii="Arial" w:hAnsi="Arial" w:cs="Arial"/>
        </w:rPr>
        <w:t xml:space="preserve">.  Paid leave may also be approved if the student has adopted a child. Students must take a leave of absence </w:t>
      </w:r>
      <w:r w:rsidR="00551F72" w:rsidRPr="00E609C5">
        <w:rPr>
          <w:rFonts w:ascii="Arial" w:hAnsi="Arial" w:cs="Arial"/>
        </w:rPr>
        <w:t>for periods of maternity leave.</w:t>
      </w:r>
    </w:p>
    <w:p w:rsidR="00551F72" w:rsidRPr="00B758F2" w:rsidRDefault="00551F72" w:rsidP="00551F72">
      <w:pPr>
        <w:pStyle w:val="i"/>
        <w:tabs>
          <w:tab w:val="clear" w:pos="1080"/>
          <w:tab w:val="left" w:pos="1134"/>
        </w:tabs>
        <w:spacing w:before="0"/>
        <w:ind w:left="1134" w:firstLine="0"/>
        <w:rPr>
          <w:rFonts w:ascii="Arial" w:hAnsi="Arial" w:cs="Arial"/>
        </w:rPr>
      </w:pPr>
    </w:p>
    <w:p w:rsidR="00B03F3A" w:rsidRPr="00E609C5" w:rsidRDefault="00B03F3A" w:rsidP="00551F72">
      <w:pPr>
        <w:pStyle w:val="i"/>
        <w:numPr>
          <w:ilvl w:val="0"/>
          <w:numId w:val="19"/>
        </w:numPr>
        <w:tabs>
          <w:tab w:val="clear" w:pos="1080"/>
          <w:tab w:val="left" w:pos="1134"/>
        </w:tabs>
        <w:spacing w:before="0"/>
        <w:ind w:left="1134" w:hanging="567"/>
        <w:rPr>
          <w:rFonts w:ascii="Arial" w:hAnsi="Arial" w:cs="Arial"/>
        </w:rPr>
      </w:pPr>
      <w:r w:rsidRPr="00E609C5">
        <w:rPr>
          <w:rFonts w:ascii="Arial" w:hAnsi="Arial" w:cs="Arial"/>
        </w:rPr>
        <w:t>Students who are partners of women giving birth and who have complete</w:t>
      </w:r>
      <w:r w:rsidR="000F724C" w:rsidRPr="00E609C5">
        <w:rPr>
          <w:rFonts w:ascii="Arial" w:hAnsi="Arial" w:cs="Arial"/>
        </w:rPr>
        <w:t>d</w:t>
      </w:r>
      <w:r w:rsidRPr="00E609C5">
        <w:rPr>
          <w:rFonts w:ascii="Arial" w:hAnsi="Arial" w:cs="Arial"/>
        </w:rPr>
        <w:t xml:space="preserve"> 12 months of their A</w:t>
      </w:r>
      <w:r w:rsidR="004B10FD" w:rsidRPr="00E609C5">
        <w:rPr>
          <w:rFonts w:ascii="Arial" w:hAnsi="Arial" w:cs="Arial"/>
        </w:rPr>
        <w:t>ward</w:t>
      </w:r>
      <w:r w:rsidRPr="00E609C5">
        <w:rPr>
          <w:rFonts w:ascii="Arial" w:hAnsi="Arial" w:cs="Arial"/>
        </w:rPr>
        <w:t xml:space="preserve">, </w:t>
      </w:r>
      <w:r w:rsidRPr="00C430B7">
        <w:rPr>
          <w:rFonts w:ascii="Arial" w:hAnsi="Arial" w:cs="Arial"/>
        </w:rPr>
        <w:t>may be</w:t>
      </w:r>
      <w:r w:rsidRPr="00E609C5">
        <w:rPr>
          <w:rFonts w:ascii="Arial" w:hAnsi="Arial" w:cs="Arial"/>
        </w:rPr>
        <w:t xml:space="preserve"> entitled to a period of parenting leave at the time of the birth or adoption. Students must take a leave of absence for periods of parenting leave. </w:t>
      </w:r>
    </w:p>
    <w:p w:rsidR="00551F72" w:rsidRPr="00B758F2" w:rsidRDefault="00551F72" w:rsidP="00551F72">
      <w:pPr>
        <w:pStyle w:val="i"/>
        <w:tabs>
          <w:tab w:val="clear" w:pos="1080"/>
          <w:tab w:val="left" w:pos="1134"/>
        </w:tabs>
        <w:spacing w:before="0"/>
        <w:ind w:left="1134" w:firstLine="0"/>
        <w:rPr>
          <w:rFonts w:ascii="Arial" w:hAnsi="Arial" w:cs="Arial"/>
        </w:rPr>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r w:rsidRPr="00B758F2">
        <w:rPr>
          <w:rFonts w:ascii="Arial" w:hAnsi="Arial" w:cs="Arial"/>
          <w:b/>
          <w:sz w:val="20"/>
          <w:szCs w:val="20"/>
        </w:rPr>
        <w:t>Employment</w:t>
      </w:r>
    </w:p>
    <w:p w:rsidR="00551F72" w:rsidRPr="00B758F2" w:rsidRDefault="00551F72" w:rsidP="00A1147C">
      <w:pPr>
        <w:pStyle w:val="BodyText1"/>
      </w:pPr>
    </w:p>
    <w:p w:rsidR="00B03F3A" w:rsidRPr="00B758F2" w:rsidRDefault="00B03F3A" w:rsidP="009348E7">
      <w:pPr>
        <w:pStyle w:val="BodyText1"/>
        <w:numPr>
          <w:ilvl w:val="0"/>
          <w:numId w:val="20"/>
        </w:numPr>
        <w:ind w:left="567" w:hanging="567"/>
      </w:pPr>
      <w:r w:rsidRPr="00B758F2">
        <w:t>A</w:t>
      </w:r>
      <w:r w:rsidR="004B10FD" w:rsidRPr="00B758F2">
        <w:t>ward</w:t>
      </w:r>
      <w:r w:rsidRPr="00B758F2">
        <w:t xml:space="preserve"> holders may undertake part-time work subject to their Supervisor being satisfied that the work will not interfere with the student’s study program.</w:t>
      </w:r>
      <w:r w:rsidR="00027EE2" w:rsidRPr="00B758F2">
        <w:br/>
      </w:r>
      <w:r w:rsidRPr="00B758F2">
        <w:t>There is no limit on how much income an award holder can receive from part-time work.  However, this income will not be tax-exempt.</w:t>
      </w:r>
    </w:p>
    <w:p w:rsidR="00027EE2" w:rsidRPr="00B758F2" w:rsidRDefault="00027EE2" w:rsidP="009348E7">
      <w:pPr>
        <w:pStyle w:val="BodyText1"/>
        <w:ind w:left="567" w:hanging="567"/>
      </w:pPr>
    </w:p>
    <w:p w:rsidR="00B03F3A" w:rsidRPr="00B758F2" w:rsidRDefault="00B03F3A" w:rsidP="009348E7">
      <w:pPr>
        <w:pStyle w:val="BodyText1"/>
        <w:numPr>
          <w:ilvl w:val="0"/>
          <w:numId w:val="20"/>
        </w:numPr>
        <w:ind w:left="567" w:hanging="567"/>
      </w:pPr>
      <w:r w:rsidRPr="00B758F2">
        <w:t>A full-time student is permitted to undertake a limited amount of part-time paid employment during the hours of 9.00am to 5.00pm, Monday to Friday: no more than 8 hours of employment per week throughout the year apart from periods of annual leave (4 weeks) and the Christmas/New Year closure.  Paid employment hours include preparation time.</w:t>
      </w:r>
    </w:p>
    <w:p w:rsidR="00027EE2" w:rsidRPr="00B758F2" w:rsidRDefault="00027EE2" w:rsidP="009348E7">
      <w:pPr>
        <w:pStyle w:val="BodyText1"/>
        <w:ind w:left="567" w:hanging="567"/>
      </w:pPr>
    </w:p>
    <w:p w:rsidR="00B03F3A" w:rsidRPr="00B758F2" w:rsidRDefault="00B03F3A" w:rsidP="009348E7">
      <w:pPr>
        <w:pStyle w:val="BodyText1"/>
        <w:numPr>
          <w:ilvl w:val="0"/>
          <w:numId w:val="20"/>
        </w:numPr>
        <w:ind w:left="567" w:hanging="567"/>
      </w:pPr>
      <w:r w:rsidRPr="00B758F2">
        <w:t xml:space="preserve">The University does not require scholarship </w:t>
      </w:r>
      <w:r w:rsidR="00027EE2" w:rsidRPr="00B758F2">
        <w:t>holders to undertake employment.</w:t>
      </w:r>
    </w:p>
    <w:p w:rsidR="00027EE2" w:rsidRPr="00B758F2" w:rsidRDefault="00027EE2" w:rsidP="00A1147C">
      <w:pPr>
        <w:pStyle w:val="BodyText1"/>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r w:rsidRPr="00B758F2">
        <w:rPr>
          <w:rFonts w:ascii="Arial" w:hAnsi="Arial" w:cs="Arial"/>
          <w:b/>
          <w:sz w:val="20"/>
          <w:szCs w:val="20"/>
        </w:rPr>
        <w:t>Research Overseas</w:t>
      </w:r>
      <w:bookmarkStart w:id="28" w:name="_Toc17510398"/>
      <w:bookmarkStart w:id="29" w:name="_Toc17510525"/>
      <w:bookmarkStart w:id="30" w:name="_Toc483726934"/>
      <w:bookmarkStart w:id="31" w:name="_Toc416768018"/>
      <w:bookmarkStart w:id="32" w:name="_Toc417449174"/>
      <w:bookmarkStart w:id="33" w:name="_Toc417808983"/>
      <w:bookmarkStart w:id="34" w:name="_Toc418328854"/>
      <w:bookmarkStart w:id="35" w:name="_Toc433533293"/>
      <w:bookmarkStart w:id="36" w:name="_Toc417796316"/>
      <w:bookmarkStart w:id="37" w:name="_Toc417804700"/>
      <w:bookmarkStart w:id="38" w:name="_Toc418580188"/>
      <w:bookmarkStart w:id="39" w:name="_Toc420905988"/>
      <w:bookmarkStart w:id="40" w:name="_Toc418330724"/>
      <w:bookmarkStart w:id="41" w:name="_Toc420827941"/>
      <w:bookmarkStart w:id="42" w:name="_Toc420904780"/>
      <w:bookmarkStart w:id="43" w:name="_Toc430488064"/>
      <w:bookmarkStart w:id="44" w:name="_Toc432993788"/>
      <w:bookmarkStart w:id="45" w:name="_Toc417875861"/>
      <w:bookmarkStart w:id="46" w:name="_Toc420831970"/>
      <w:bookmarkStart w:id="47" w:name="_Toc430409386"/>
      <w:bookmarkEnd w:id="28"/>
      <w:bookmarkEnd w:id="29"/>
    </w:p>
    <w:p w:rsidR="00C259E1" w:rsidRPr="00B758F2" w:rsidRDefault="00C259E1" w:rsidP="00A1147C">
      <w:pPr>
        <w:pStyle w:val="BodyText1"/>
      </w:pPr>
    </w:p>
    <w:p w:rsidR="00B03F3A" w:rsidRPr="00B758F2" w:rsidRDefault="00B03F3A" w:rsidP="009348E7">
      <w:pPr>
        <w:pStyle w:val="BodyText1"/>
        <w:numPr>
          <w:ilvl w:val="0"/>
          <w:numId w:val="21"/>
        </w:numPr>
        <w:ind w:left="567" w:hanging="567"/>
      </w:pPr>
      <w:r w:rsidRPr="00B758F2">
        <w:t>The University may approve students conducting up to 12 months of their research outside Australia. Approval will only be granted if the research is essential for completion of the degree.</w:t>
      </w:r>
    </w:p>
    <w:p w:rsidR="00446461" w:rsidRPr="00B758F2" w:rsidRDefault="00446461" w:rsidP="009348E7">
      <w:pPr>
        <w:pStyle w:val="BodyText1"/>
        <w:ind w:left="567" w:hanging="567"/>
      </w:pPr>
    </w:p>
    <w:p w:rsidR="00B03F3A" w:rsidRPr="00B758F2" w:rsidRDefault="00B03F3A" w:rsidP="009348E7">
      <w:pPr>
        <w:pStyle w:val="BodyText1"/>
        <w:numPr>
          <w:ilvl w:val="0"/>
          <w:numId w:val="21"/>
        </w:numPr>
        <w:ind w:left="567" w:hanging="567"/>
      </w:pPr>
      <w:r w:rsidRPr="00B758F2">
        <w:t>The University will only approve overseas research if there is adequate supervision, the student remains enrolled and the work can be credited to the student's postgraduate program.</w:t>
      </w:r>
    </w:p>
    <w:p w:rsidR="00446461" w:rsidRPr="00B758F2" w:rsidRDefault="00446461" w:rsidP="009348E7">
      <w:pPr>
        <w:pStyle w:val="BodyText1"/>
        <w:ind w:left="567" w:hanging="567"/>
      </w:pPr>
    </w:p>
    <w:p w:rsidR="00B03F3A" w:rsidRPr="00B758F2" w:rsidRDefault="00B03F3A" w:rsidP="009348E7">
      <w:pPr>
        <w:pStyle w:val="BodyText1"/>
        <w:numPr>
          <w:ilvl w:val="0"/>
          <w:numId w:val="21"/>
        </w:numPr>
        <w:ind w:left="567" w:hanging="567"/>
      </w:pPr>
      <w:r w:rsidRPr="00B758F2">
        <w:t>The student must have gained candidacy prior to undertaking research overseas.</w:t>
      </w:r>
    </w:p>
    <w:p w:rsidR="00446461" w:rsidRPr="00B758F2" w:rsidRDefault="00446461" w:rsidP="00A1147C">
      <w:pPr>
        <w:pStyle w:val="BodyText1"/>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r w:rsidRPr="00B758F2">
        <w:rPr>
          <w:rFonts w:ascii="Arial" w:hAnsi="Arial" w:cs="Arial"/>
          <w:b/>
          <w:sz w:val="20"/>
          <w:szCs w:val="20"/>
        </w:rPr>
        <w:tab/>
        <w:t>Research at Other Organisations</w:t>
      </w:r>
    </w:p>
    <w:p w:rsidR="00446461" w:rsidRPr="00B758F2" w:rsidRDefault="00446461" w:rsidP="00A1147C">
      <w:pPr>
        <w:pStyle w:val="BodyText1"/>
      </w:pPr>
    </w:p>
    <w:p w:rsidR="00B03F3A" w:rsidRPr="00B758F2" w:rsidRDefault="00B03F3A" w:rsidP="00A1147C">
      <w:pPr>
        <w:pStyle w:val="BodyText1"/>
      </w:pPr>
      <w:r w:rsidRPr="00B758F2">
        <w:t>The University may approve a student conducting substantial amounts of research at organisations outside the higher education system provided that adequate support, supervision, training, and research freedom for the student is available at the other organisation and on the understanding that the University will still be responsible for the student.</w:t>
      </w:r>
    </w:p>
    <w:p w:rsidR="00446461" w:rsidRPr="00B758F2" w:rsidRDefault="00446461" w:rsidP="00A1147C">
      <w:pPr>
        <w:pStyle w:val="BodyText1"/>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r w:rsidRPr="00B758F2">
        <w:rPr>
          <w:rFonts w:ascii="Arial" w:hAnsi="Arial" w:cs="Arial"/>
          <w:b/>
          <w:sz w:val="20"/>
          <w:szCs w:val="20"/>
        </w:rPr>
        <w:tab/>
        <w:t xml:space="preserve">Specific </w:t>
      </w:r>
      <w:r w:rsidR="003458C1" w:rsidRPr="00B758F2">
        <w:rPr>
          <w:rFonts w:ascii="Arial" w:hAnsi="Arial" w:cs="Arial"/>
          <w:b/>
          <w:sz w:val="20"/>
          <w:szCs w:val="20"/>
        </w:rPr>
        <w:t xml:space="preserve">University </w:t>
      </w:r>
      <w:r w:rsidRPr="00B758F2">
        <w:rPr>
          <w:rFonts w:ascii="Arial" w:hAnsi="Arial" w:cs="Arial"/>
          <w:b/>
          <w:sz w:val="20"/>
          <w:szCs w:val="20"/>
        </w:rPr>
        <w:t>Obligations</w:t>
      </w:r>
    </w:p>
    <w:p w:rsidR="003458C1" w:rsidRPr="00B758F2" w:rsidRDefault="003458C1" w:rsidP="00A1147C">
      <w:pPr>
        <w:pStyle w:val="BodyText1"/>
      </w:pPr>
    </w:p>
    <w:p w:rsidR="00B03F3A" w:rsidRPr="00B758F2" w:rsidRDefault="00B03F3A" w:rsidP="008A265E">
      <w:pPr>
        <w:pStyle w:val="BodyText1"/>
        <w:numPr>
          <w:ilvl w:val="0"/>
          <w:numId w:val="22"/>
        </w:numPr>
        <w:ind w:left="567" w:hanging="567"/>
      </w:pPr>
      <w:r w:rsidRPr="00B758F2">
        <w:t>The University has a code of supervision of postgraduate research degrees.</w:t>
      </w:r>
    </w:p>
    <w:p w:rsidR="00446461" w:rsidRPr="00B758F2" w:rsidRDefault="00446461" w:rsidP="008A265E">
      <w:pPr>
        <w:pStyle w:val="BodyText1"/>
        <w:ind w:left="567" w:hanging="567"/>
      </w:pPr>
    </w:p>
    <w:p w:rsidR="00B03F3A" w:rsidRPr="00B758F2" w:rsidRDefault="00B03F3A" w:rsidP="008A265E">
      <w:pPr>
        <w:pStyle w:val="BodyText1"/>
        <w:numPr>
          <w:ilvl w:val="0"/>
          <w:numId w:val="22"/>
        </w:numPr>
        <w:ind w:left="567" w:hanging="567"/>
      </w:pPr>
      <w:r w:rsidRPr="00B758F2">
        <w:t>The University will be fair and equitable in the use of its discretionary powers.</w:t>
      </w:r>
    </w:p>
    <w:p w:rsidR="00446461" w:rsidRPr="00B758F2" w:rsidRDefault="00446461" w:rsidP="008A265E">
      <w:pPr>
        <w:pStyle w:val="BodyText1"/>
        <w:ind w:left="567" w:hanging="567"/>
      </w:pPr>
    </w:p>
    <w:p w:rsidR="00B03F3A" w:rsidRPr="00B758F2" w:rsidRDefault="00B03F3A" w:rsidP="008A265E">
      <w:pPr>
        <w:pStyle w:val="BodyText1"/>
        <w:numPr>
          <w:ilvl w:val="0"/>
          <w:numId w:val="22"/>
        </w:numPr>
        <w:ind w:left="567" w:hanging="567"/>
      </w:pPr>
      <w:r w:rsidRPr="00B758F2">
        <w:lastRenderedPageBreak/>
        <w:t>The right of students to appeal against decisions is recognised. The University will advise students of appropriate appeal mechanisms for resolution of any disputes which might arise during their candidature.</w:t>
      </w:r>
    </w:p>
    <w:p w:rsidR="00446461" w:rsidRPr="00B758F2" w:rsidRDefault="00446461" w:rsidP="008A265E">
      <w:pPr>
        <w:pStyle w:val="BodyText1"/>
        <w:ind w:left="567" w:hanging="567"/>
      </w:pPr>
    </w:p>
    <w:p w:rsidR="00B03F3A" w:rsidRDefault="00B03F3A" w:rsidP="008A265E">
      <w:pPr>
        <w:pStyle w:val="BodyText1"/>
        <w:numPr>
          <w:ilvl w:val="0"/>
          <w:numId w:val="22"/>
        </w:numPr>
        <w:ind w:left="567" w:hanging="567"/>
      </w:pPr>
      <w:r w:rsidRPr="00B758F2">
        <w:t>The University will pay the student all entitlements under the award.</w:t>
      </w:r>
    </w:p>
    <w:p w:rsidR="008A265E" w:rsidRDefault="008A265E" w:rsidP="008A265E">
      <w:pPr>
        <w:pStyle w:val="ListParagraph"/>
      </w:pPr>
    </w:p>
    <w:p w:rsidR="008A265E" w:rsidRPr="00B758F2" w:rsidRDefault="008A265E" w:rsidP="008A265E">
      <w:pPr>
        <w:pStyle w:val="BodyText1"/>
        <w:numPr>
          <w:ilvl w:val="0"/>
          <w:numId w:val="0"/>
        </w:numPr>
        <w:ind w:left="567"/>
      </w:pPr>
    </w:p>
    <w:p w:rsidR="00446461" w:rsidRPr="00B758F2" w:rsidRDefault="00446461" w:rsidP="00A1147C">
      <w:pPr>
        <w:pStyle w:val="BodyText1"/>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r w:rsidRPr="00B758F2">
        <w:rPr>
          <w:rFonts w:ascii="Arial" w:hAnsi="Arial" w:cs="Arial"/>
          <w:b/>
          <w:sz w:val="20"/>
          <w:szCs w:val="20"/>
        </w:rPr>
        <w:t>Specific Student Obligations</w:t>
      </w:r>
    </w:p>
    <w:p w:rsidR="001D2847" w:rsidRPr="00B758F2" w:rsidRDefault="001D2847" w:rsidP="00A1147C">
      <w:pPr>
        <w:pStyle w:val="BodyText1"/>
      </w:pPr>
    </w:p>
    <w:p w:rsidR="00B03F3A" w:rsidRPr="00B758F2" w:rsidRDefault="00B03F3A" w:rsidP="008A265E">
      <w:pPr>
        <w:pStyle w:val="BodyText1"/>
        <w:numPr>
          <w:ilvl w:val="0"/>
          <w:numId w:val="23"/>
        </w:numPr>
        <w:ind w:left="567" w:hanging="567"/>
      </w:pPr>
      <w:r w:rsidRPr="00B758F2">
        <w:t>Students shall diligently and to the best of their ability apply themselves to the successful completion of the degree.</w:t>
      </w:r>
    </w:p>
    <w:p w:rsidR="001D2847" w:rsidRPr="00B758F2" w:rsidRDefault="001D2847" w:rsidP="008A265E">
      <w:pPr>
        <w:pStyle w:val="BodyText1"/>
        <w:ind w:left="567" w:hanging="567"/>
      </w:pPr>
    </w:p>
    <w:p w:rsidR="00B03F3A" w:rsidRPr="00B758F2" w:rsidRDefault="00B03F3A" w:rsidP="008A265E">
      <w:pPr>
        <w:pStyle w:val="BodyText1"/>
        <w:numPr>
          <w:ilvl w:val="0"/>
          <w:numId w:val="23"/>
        </w:numPr>
        <w:ind w:left="567" w:hanging="567"/>
      </w:pPr>
      <w:r w:rsidRPr="00B758F2">
        <w:t xml:space="preserve">The student shall abide </w:t>
      </w:r>
      <w:r w:rsidR="00AF6AC6" w:rsidRPr="00B758F2">
        <w:t xml:space="preserve">where relevant </w:t>
      </w:r>
      <w:r w:rsidRPr="00B758F2">
        <w:t>by the</w:t>
      </w:r>
      <w:r w:rsidR="00AF6AC6" w:rsidRPr="00B758F2">
        <w:t xml:space="preserve"> National Health and Medical Research</w:t>
      </w:r>
      <w:r w:rsidRPr="00B758F2">
        <w:t xml:space="preserve"> </w:t>
      </w:r>
      <w:r w:rsidR="00AF6AC6" w:rsidRPr="00B758F2">
        <w:t>(</w:t>
      </w:r>
      <w:r w:rsidRPr="00B758F2">
        <w:t>NHMRC</w:t>
      </w:r>
      <w:r w:rsidR="00AF6AC6" w:rsidRPr="00B758F2">
        <w:t>)</w:t>
      </w:r>
      <w:r w:rsidRPr="00B758F2">
        <w:t xml:space="preserve"> </w:t>
      </w:r>
      <w:r w:rsidR="00AF6AC6" w:rsidRPr="00B758F2">
        <w:t xml:space="preserve">and Australian Research Council (ARC) </w:t>
      </w:r>
      <w:r w:rsidRPr="00B758F2">
        <w:t xml:space="preserve">Codes on Human and Animal </w:t>
      </w:r>
      <w:r w:rsidR="00AF6AC6" w:rsidRPr="00B758F2">
        <w:t xml:space="preserve">Research </w:t>
      </w:r>
      <w:r w:rsidRPr="00B758F2">
        <w:t xml:space="preserve">Conditions and </w:t>
      </w:r>
      <w:r w:rsidR="00AF6AC6" w:rsidRPr="00B758F2">
        <w:t xml:space="preserve">decisions </w:t>
      </w:r>
      <w:r w:rsidRPr="00B758F2">
        <w:t>of the Safety and Ethics committees of the University.</w:t>
      </w:r>
    </w:p>
    <w:p w:rsidR="001D2847" w:rsidRPr="00B758F2" w:rsidRDefault="001D2847" w:rsidP="008A265E">
      <w:pPr>
        <w:pStyle w:val="BodyText1"/>
        <w:ind w:left="567" w:hanging="567"/>
      </w:pPr>
    </w:p>
    <w:p w:rsidR="00B03F3A" w:rsidRPr="00B758F2" w:rsidRDefault="00B03F3A" w:rsidP="008A265E">
      <w:pPr>
        <w:pStyle w:val="BodyText1"/>
        <w:numPr>
          <w:ilvl w:val="0"/>
          <w:numId w:val="23"/>
        </w:numPr>
        <w:ind w:left="567" w:hanging="567"/>
      </w:pPr>
      <w:r w:rsidRPr="00B758F2">
        <w:t xml:space="preserve">An award holder is required to conform to the </w:t>
      </w:r>
      <w:r w:rsidR="00655D53" w:rsidRPr="00B758F2">
        <w:t>rules</w:t>
      </w:r>
      <w:r w:rsidRPr="00B758F2">
        <w:t xml:space="preserve"> (including disciplinary provisions) of the University.</w:t>
      </w:r>
    </w:p>
    <w:p w:rsidR="001D2847" w:rsidRPr="00B758F2" w:rsidRDefault="001D2847" w:rsidP="008A265E">
      <w:pPr>
        <w:pStyle w:val="BodyText1"/>
        <w:ind w:left="567" w:hanging="567"/>
      </w:pPr>
    </w:p>
    <w:p w:rsidR="00B03F3A" w:rsidRPr="00B758F2" w:rsidRDefault="00B03F3A" w:rsidP="008A265E">
      <w:pPr>
        <w:pStyle w:val="BodyText1"/>
        <w:numPr>
          <w:ilvl w:val="0"/>
          <w:numId w:val="23"/>
        </w:numPr>
        <w:ind w:left="567" w:hanging="567"/>
      </w:pPr>
      <w:r w:rsidRPr="00B758F2">
        <w:t xml:space="preserve">Students must provide all reports required by the University including an annual progress report submitted through the Faculty Graduate Studies Officer (FGSO). If the University does not consider that progress </w:t>
      </w:r>
      <w:r w:rsidR="007E718D" w:rsidRPr="00B758F2">
        <w:t xml:space="preserve">to be </w:t>
      </w:r>
      <w:r w:rsidRPr="00B758F2">
        <w:t xml:space="preserve">satisfactory the student </w:t>
      </w:r>
      <w:r w:rsidR="00655D53" w:rsidRPr="00B758F2">
        <w:t xml:space="preserve">will be </w:t>
      </w:r>
      <w:r w:rsidRPr="00B758F2">
        <w:t>placed on conditional status</w:t>
      </w:r>
      <w:r w:rsidR="00655D53" w:rsidRPr="00B758F2">
        <w:t xml:space="preserve"> and/or the award </w:t>
      </w:r>
      <w:r w:rsidR="007E718D" w:rsidRPr="00B758F2">
        <w:t xml:space="preserve">may </w:t>
      </w:r>
      <w:r w:rsidR="00655D53" w:rsidRPr="00B758F2">
        <w:t>be terminated</w:t>
      </w:r>
      <w:r w:rsidRPr="00B758F2">
        <w:t>.</w:t>
      </w:r>
    </w:p>
    <w:p w:rsidR="001D2847" w:rsidRPr="00B758F2" w:rsidRDefault="001D2847" w:rsidP="008A265E">
      <w:pPr>
        <w:pStyle w:val="BodyText1"/>
        <w:ind w:left="567" w:hanging="567"/>
      </w:pPr>
    </w:p>
    <w:p w:rsidR="00B03F3A" w:rsidRPr="00B758F2" w:rsidRDefault="00B03F3A" w:rsidP="008A265E">
      <w:pPr>
        <w:pStyle w:val="BodyText1"/>
        <w:numPr>
          <w:ilvl w:val="0"/>
          <w:numId w:val="23"/>
        </w:numPr>
        <w:ind w:left="567" w:hanging="567"/>
      </w:pPr>
      <w:r w:rsidRPr="00B758F2">
        <w:t>The student must advise the Scholarships Office in writing of any change of address or change enrolment status including when they submit their thesis for examination to the Office of Research and Development.</w:t>
      </w:r>
    </w:p>
    <w:p w:rsidR="001D2847" w:rsidRPr="00B758F2" w:rsidRDefault="001D2847" w:rsidP="00A1147C">
      <w:pPr>
        <w:pStyle w:val="BodyText1"/>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r w:rsidRPr="00B758F2">
        <w:rPr>
          <w:rFonts w:ascii="Arial" w:hAnsi="Arial" w:cs="Arial"/>
          <w:b/>
          <w:sz w:val="20"/>
          <w:szCs w:val="20"/>
        </w:rPr>
        <w:t>Variation of Conditions</w:t>
      </w:r>
    </w:p>
    <w:p w:rsidR="001D2847" w:rsidRPr="00B758F2" w:rsidRDefault="001D2847" w:rsidP="00A1147C">
      <w:pPr>
        <w:pStyle w:val="BodyText1"/>
      </w:pPr>
    </w:p>
    <w:p w:rsidR="00B03F3A" w:rsidRPr="00B758F2" w:rsidRDefault="00B03F3A" w:rsidP="008A265E">
      <w:pPr>
        <w:pStyle w:val="BodyText1"/>
        <w:numPr>
          <w:ilvl w:val="0"/>
          <w:numId w:val="24"/>
        </w:numPr>
        <w:ind w:left="567" w:hanging="567"/>
      </w:pPr>
      <w:r w:rsidRPr="00B758F2">
        <w:t>These conditions may not be varied or waived without the prior consent of the Associate Deputy Vice Chancellor, Research</w:t>
      </w:r>
      <w:r w:rsidR="00655D53" w:rsidRPr="00B758F2">
        <w:t xml:space="preserve"> Training</w:t>
      </w:r>
      <w:r w:rsidRPr="00B758F2">
        <w:t>.</w:t>
      </w:r>
    </w:p>
    <w:p w:rsidR="001D2847" w:rsidRPr="00B758F2" w:rsidRDefault="001D2847" w:rsidP="008A265E">
      <w:pPr>
        <w:pStyle w:val="BodyText1"/>
        <w:ind w:left="567" w:hanging="567"/>
      </w:pPr>
    </w:p>
    <w:p w:rsidR="00B03F3A" w:rsidRPr="00B758F2" w:rsidRDefault="00B03F3A" w:rsidP="008A265E">
      <w:pPr>
        <w:pStyle w:val="BodyText1"/>
        <w:numPr>
          <w:ilvl w:val="0"/>
          <w:numId w:val="24"/>
        </w:numPr>
        <w:ind w:left="567" w:hanging="567"/>
      </w:pPr>
      <w:r w:rsidRPr="00B758F2">
        <w:t>Applications for variation or waiver must be submitted in writing to the Associate Deputy Vice Chancellor, Research Training and carry the endorsement of the Student's Supervisor and the Head of the appropriate academic unit.</w:t>
      </w:r>
    </w:p>
    <w:p w:rsidR="001D2847" w:rsidRPr="00B758F2" w:rsidRDefault="001D2847" w:rsidP="00A1147C">
      <w:pPr>
        <w:pStyle w:val="BodyText1"/>
      </w:pPr>
    </w:p>
    <w:p w:rsidR="00B03F3A" w:rsidRPr="00B758F2" w:rsidRDefault="00B03F3A" w:rsidP="00A1147C">
      <w:pPr>
        <w:pStyle w:val="Heading3"/>
        <w:numPr>
          <w:ilvl w:val="0"/>
          <w:numId w:val="30"/>
        </w:numPr>
        <w:tabs>
          <w:tab w:val="left" w:pos="540"/>
        </w:tabs>
        <w:spacing w:before="0" w:after="0"/>
        <w:rPr>
          <w:rFonts w:ascii="Arial" w:hAnsi="Arial" w:cs="Arial"/>
          <w:b/>
          <w:sz w:val="20"/>
          <w:szCs w:val="20"/>
        </w:rPr>
      </w:pPr>
      <w:r w:rsidRPr="00B758F2">
        <w:rPr>
          <w:rFonts w:ascii="Arial" w:hAnsi="Arial" w:cs="Arial"/>
          <w:b/>
          <w:sz w:val="20"/>
          <w:szCs w:val="20"/>
        </w:rPr>
        <w:tab/>
        <w:t>Provision of False or Misleading Information</w:t>
      </w:r>
    </w:p>
    <w:p w:rsidR="001D2847" w:rsidRPr="00B758F2" w:rsidRDefault="001D2847" w:rsidP="00A1147C">
      <w:pPr>
        <w:pStyle w:val="BodyText1"/>
      </w:pPr>
    </w:p>
    <w:p w:rsidR="00B03F3A" w:rsidRPr="00B758F2" w:rsidRDefault="00B03F3A" w:rsidP="008A265E">
      <w:pPr>
        <w:pStyle w:val="BodyText1"/>
        <w:numPr>
          <w:ilvl w:val="0"/>
          <w:numId w:val="25"/>
        </w:numPr>
        <w:ind w:left="567" w:hanging="567"/>
      </w:pPr>
      <w:r w:rsidRPr="00B758F2">
        <w:t xml:space="preserve">If </w:t>
      </w:r>
      <w:r w:rsidR="00FB48A3" w:rsidRPr="00B758F2">
        <w:t>the</w:t>
      </w:r>
      <w:r w:rsidRPr="00B758F2">
        <w:t xml:space="preserve"> University knows or has reason to believe that a student in receipt of an A</w:t>
      </w:r>
      <w:r w:rsidR="004B10FD" w:rsidRPr="00B758F2">
        <w:t>ward</w:t>
      </w:r>
      <w:r w:rsidRPr="00B758F2">
        <w:t xml:space="preserve"> has provided false or misleading information to </w:t>
      </w:r>
      <w:r w:rsidR="00FB48A3" w:rsidRPr="00B758F2">
        <w:t>the</w:t>
      </w:r>
      <w:r w:rsidRPr="00B758F2">
        <w:t xml:space="preserve"> University in relation to the A</w:t>
      </w:r>
      <w:r w:rsidR="004B10FD" w:rsidRPr="00B758F2">
        <w:t>ward</w:t>
      </w:r>
      <w:r w:rsidRPr="00B758F2">
        <w:t xml:space="preserve">, </w:t>
      </w:r>
      <w:r w:rsidR="00FB48A3" w:rsidRPr="00B758F2">
        <w:t>the</w:t>
      </w:r>
      <w:r w:rsidRPr="00B758F2">
        <w:t xml:space="preserve"> University must immediately:</w:t>
      </w:r>
    </w:p>
    <w:p w:rsidR="001D2847" w:rsidRPr="00B758F2" w:rsidRDefault="001D2847" w:rsidP="00A1147C">
      <w:pPr>
        <w:pStyle w:val="BodyText1"/>
      </w:pPr>
    </w:p>
    <w:p w:rsidR="00B03F3A" w:rsidRPr="00B758F2" w:rsidRDefault="00B03F3A" w:rsidP="001D2847">
      <w:pPr>
        <w:pStyle w:val="i"/>
        <w:numPr>
          <w:ilvl w:val="0"/>
          <w:numId w:val="26"/>
        </w:numPr>
        <w:tabs>
          <w:tab w:val="clear" w:pos="1080"/>
          <w:tab w:val="left" w:pos="1134"/>
        </w:tabs>
        <w:spacing w:before="0"/>
        <w:ind w:left="1134" w:hanging="567"/>
        <w:rPr>
          <w:rFonts w:ascii="Arial" w:hAnsi="Arial" w:cs="Arial"/>
        </w:rPr>
      </w:pPr>
      <w:r w:rsidRPr="00B758F2">
        <w:rPr>
          <w:rFonts w:ascii="Arial" w:hAnsi="Arial" w:cs="Arial"/>
        </w:rPr>
        <w:t>re-assess the student’s entitlement to the A</w:t>
      </w:r>
      <w:r w:rsidR="004B10FD" w:rsidRPr="00B758F2">
        <w:rPr>
          <w:rFonts w:ascii="Arial" w:hAnsi="Arial" w:cs="Arial"/>
        </w:rPr>
        <w:t>ward</w:t>
      </w:r>
      <w:r w:rsidRPr="00B758F2">
        <w:rPr>
          <w:rFonts w:ascii="Arial" w:hAnsi="Arial" w:cs="Arial"/>
        </w:rPr>
        <w:t xml:space="preserve">; and </w:t>
      </w:r>
    </w:p>
    <w:p w:rsidR="001D2847" w:rsidRPr="00B758F2" w:rsidRDefault="001D2847" w:rsidP="001D2847">
      <w:pPr>
        <w:pStyle w:val="i"/>
        <w:tabs>
          <w:tab w:val="clear" w:pos="1080"/>
          <w:tab w:val="left" w:pos="1134"/>
        </w:tabs>
        <w:spacing w:before="0"/>
        <w:ind w:left="1134" w:firstLine="0"/>
        <w:rPr>
          <w:rFonts w:ascii="Arial" w:hAnsi="Arial" w:cs="Arial"/>
        </w:rPr>
      </w:pPr>
    </w:p>
    <w:p w:rsidR="00B03F3A" w:rsidRPr="00FB622C" w:rsidRDefault="00B03F3A" w:rsidP="001D2847">
      <w:pPr>
        <w:pStyle w:val="i"/>
        <w:numPr>
          <w:ilvl w:val="0"/>
          <w:numId w:val="26"/>
        </w:numPr>
        <w:tabs>
          <w:tab w:val="clear" w:pos="1080"/>
          <w:tab w:val="left" w:pos="1134"/>
        </w:tabs>
        <w:spacing w:before="0"/>
        <w:ind w:left="1134" w:hanging="567"/>
        <w:rPr>
          <w:rFonts w:ascii="Arial" w:hAnsi="Arial" w:cs="Arial"/>
        </w:rPr>
      </w:pPr>
      <w:r w:rsidRPr="00FB622C">
        <w:rPr>
          <w:rFonts w:ascii="Arial" w:hAnsi="Arial" w:cs="Arial"/>
        </w:rPr>
        <w:t xml:space="preserve">notify the Department of </w:t>
      </w:r>
      <w:r w:rsidR="004218DC" w:rsidRPr="00FB622C">
        <w:rPr>
          <w:rFonts w:ascii="Arial" w:hAnsi="Arial" w:cs="Arial"/>
        </w:rPr>
        <w:t>Education and Training/</w:t>
      </w:r>
      <w:r w:rsidR="004B10FD" w:rsidRPr="00FB622C">
        <w:rPr>
          <w:rFonts w:ascii="Arial" w:hAnsi="Arial" w:cs="Arial"/>
        </w:rPr>
        <w:t xml:space="preserve">Department of Immigration and </w:t>
      </w:r>
      <w:r w:rsidR="004218DC" w:rsidRPr="00FB622C">
        <w:rPr>
          <w:rFonts w:ascii="Arial" w:hAnsi="Arial" w:cs="Arial"/>
        </w:rPr>
        <w:t>Border Protection of</w:t>
      </w:r>
      <w:r w:rsidRPr="00FB622C">
        <w:rPr>
          <w:rFonts w:ascii="Arial" w:hAnsi="Arial" w:cs="Arial"/>
        </w:rPr>
        <w:t xml:space="preserve"> the suspected offence and provide a copy of the student’s application and any other relevant information requested by</w:t>
      </w:r>
      <w:r w:rsidR="004B10FD" w:rsidRPr="00FB622C">
        <w:rPr>
          <w:rFonts w:ascii="Arial" w:hAnsi="Arial" w:cs="Arial"/>
        </w:rPr>
        <w:t xml:space="preserve"> the relevant </w:t>
      </w:r>
      <w:r w:rsidR="00E609C5" w:rsidRPr="00FB622C">
        <w:rPr>
          <w:rFonts w:ascii="Arial" w:hAnsi="Arial" w:cs="Arial"/>
        </w:rPr>
        <w:t>department</w:t>
      </w:r>
      <w:r w:rsidR="004B10FD" w:rsidRPr="00FB622C">
        <w:rPr>
          <w:rFonts w:ascii="Arial" w:hAnsi="Arial" w:cs="Arial"/>
        </w:rPr>
        <w:t xml:space="preserve">. </w:t>
      </w:r>
    </w:p>
    <w:p w:rsidR="00DC39E5" w:rsidRPr="00B758F2" w:rsidRDefault="00DC39E5" w:rsidP="00A1147C">
      <w:pPr>
        <w:pStyle w:val="BodyText1"/>
      </w:pPr>
    </w:p>
    <w:p w:rsidR="00DC39E5" w:rsidRPr="00B758F2" w:rsidRDefault="00DC39E5" w:rsidP="00A1147C">
      <w:pPr>
        <w:pStyle w:val="BodyText1"/>
      </w:pPr>
    </w:p>
    <w:p w:rsidR="00B03F3A" w:rsidRPr="00B758F2" w:rsidRDefault="00A1147C" w:rsidP="00A1147C">
      <w:pPr>
        <w:pStyle w:val="BodyText1"/>
      </w:pPr>
      <w:r>
        <w:br w:type="page"/>
      </w:r>
      <w:r w:rsidR="00DC39E5" w:rsidRPr="00B758F2">
        <w:lastRenderedPageBreak/>
        <w:t>DO NOT DETACH</w:t>
      </w:r>
    </w:p>
    <w:p w:rsidR="00DC39E5" w:rsidRPr="00B758F2" w:rsidRDefault="00DC39E5" w:rsidP="00A1147C">
      <w:pPr>
        <w:pStyle w:val="BodyText1"/>
      </w:pPr>
    </w:p>
    <w:p w:rsidR="00B03F3A" w:rsidRPr="00B758F2" w:rsidRDefault="00B03F3A" w:rsidP="00A1147C">
      <w:pPr>
        <w:pStyle w:val="BodyText1"/>
        <w:numPr>
          <w:ilvl w:val="0"/>
          <w:numId w:val="29"/>
        </w:numPr>
      </w:pPr>
      <w:r w:rsidRPr="00B758F2">
        <w:t xml:space="preserve">I have read the attached </w:t>
      </w:r>
      <w:r w:rsidR="00405746">
        <w:t>201</w:t>
      </w:r>
      <w:r w:rsidR="00033273">
        <w:t>7</w:t>
      </w:r>
      <w:r w:rsidR="00405746">
        <w:t xml:space="preserve"> </w:t>
      </w:r>
      <w:r w:rsidRPr="00B758F2">
        <w:t xml:space="preserve">Conditions of Award governing the </w:t>
      </w:r>
      <w:r w:rsidR="007229F2" w:rsidRPr="00B758F2">
        <w:t xml:space="preserve">Bankwest </w:t>
      </w:r>
      <w:r w:rsidR="00E609C5">
        <w:t xml:space="preserve">Curtin </w:t>
      </w:r>
      <w:r w:rsidR="007229F2" w:rsidRPr="00B758F2">
        <w:t>Economic</w:t>
      </w:r>
      <w:r w:rsidR="00405746">
        <w:t>s</w:t>
      </w:r>
      <w:r w:rsidR="007229F2" w:rsidRPr="00B758F2">
        <w:t xml:space="preserve"> Centre PhD Scholarship</w:t>
      </w:r>
      <w:r w:rsidRPr="00B758F2">
        <w:t>.  I agree to abide by the conditions and obligations outlined therein.</w:t>
      </w:r>
    </w:p>
    <w:p w:rsidR="00B03F3A" w:rsidRPr="00B758F2" w:rsidRDefault="00B03F3A" w:rsidP="00A1147C">
      <w:pPr>
        <w:pStyle w:val="BodyText1"/>
      </w:pPr>
    </w:p>
    <w:p w:rsidR="00B03F3A" w:rsidRPr="00B758F2" w:rsidRDefault="00B03F3A" w:rsidP="00A1147C">
      <w:pPr>
        <w:pStyle w:val="BodyText1"/>
        <w:numPr>
          <w:ilvl w:val="0"/>
          <w:numId w:val="29"/>
        </w:numPr>
      </w:pPr>
      <w:r w:rsidRPr="00B758F2">
        <w:t xml:space="preserve">I undertake to devote myself full time to my studies throughout the year subject to the concessions on employment described in </w:t>
      </w:r>
      <w:r w:rsidR="00926A2D" w:rsidRPr="00B758F2">
        <w:t>Section</w:t>
      </w:r>
      <w:r w:rsidRPr="00B758F2">
        <w:t xml:space="preserve"> </w:t>
      </w:r>
      <w:r w:rsidR="00405746">
        <w:t>9</w:t>
      </w:r>
      <w:r w:rsidRPr="00B758F2">
        <w:t xml:space="preserve"> above.</w:t>
      </w:r>
    </w:p>
    <w:p w:rsidR="00B03F3A" w:rsidRPr="00B758F2" w:rsidRDefault="00B03F3A" w:rsidP="00A1147C">
      <w:pPr>
        <w:pStyle w:val="BodyText1"/>
      </w:pPr>
    </w:p>
    <w:p w:rsidR="00B03F3A" w:rsidRPr="00B758F2" w:rsidRDefault="00B03F3A" w:rsidP="00A1147C">
      <w:pPr>
        <w:pStyle w:val="BodyText1"/>
        <w:numPr>
          <w:ilvl w:val="0"/>
          <w:numId w:val="29"/>
        </w:numPr>
      </w:pPr>
      <w:r w:rsidRPr="00B758F2">
        <w:t>I accept your offer of a scholarship award under the conditions specified.</w:t>
      </w:r>
    </w:p>
    <w:p w:rsidR="00B03F3A" w:rsidRPr="00B758F2" w:rsidRDefault="00B03F3A" w:rsidP="00A1147C">
      <w:pPr>
        <w:pStyle w:val="BodyText1"/>
      </w:pPr>
    </w:p>
    <w:p w:rsidR="00B03F3A" w:rsidRPr="00B758F2" w:rsidRDefault="00B03F3A" w:rsidP="00A1147C">
      <w:pPr>
        <w:pStyle w:val="BodyText1"/>
      </w:pPr>
    </w:p>
    <w:tbl>
      <w:tblPr>
        <w:tblW w:w="0" w:type="auto"/>
        <w:tblLook w:val="04A0" w:firstRow="1" w:lastRow="0" w:firstColumn="1" w:lastColumn="0" w:noHBand="0" w:noVBand="1"/>
      </w:tblPr>
      <w:tblGrid>
        <w:gridCol w:w="2922"/>
        <w:gridCol w:w="6104"/>
      </w:tblGrid>
      <w:tr w:rsidR="00B03F3A" w:rsidRPr="00B758F2" w:rsidTr="00CA6761">
        <w:tc>
          <w:tcPr>
            <w:tcW w:w="2943" w:type="dxa"/>
            <w:hideMark/>
          </w:tcPr>
          <w:p w:rsidR="00CA6761" w:rsidRPr="00B758F2" w:rsidRDefault="00CA6761" w:rsidP="00A1147C">
            <w:pPr>
              <w:pStyle w:val="BodyText1"/>
            </w:pPr>
          </w:p>
          <w:p w:rsidR="00B03F3A" w:rsidRPr="00B758F2" w:rsidRDefault="00B03F3A" w:rsidP="00A1147C">
            <w:pPr>
              <w:pStyle w:val="BodyText1"/>
            </w:pPr>
            <w:r w:rsidRPr="00B758F2">
              <w:t>Signature:</w:t>
            </w:r>
          </w:p>
        </w:tc>
        <w:tc>
          <w:tcPr>
            <w:tcW w:w="6237" w:type="dxa"/>
            <w:tcBorders>
              <w:top w:val="nil"/>
              <w:left w:val="nil"/>
              <w:bottom w:val="single" w:sz="4" w:space="0" w:color="auto"/>
              <w:right w:val="nil"/>
            </w:tcBorders>
          </w:tcPr>
          <w:p w:rsidR="00B03F3A" w:rsidRPr="00B758F2" w:rsidRDefault="00B03F3A" w:rsidP="00A1147C">
            <w:pPr>
              <w:pStyle w:val="BodyText1"/>
            </w:pPr>
          </w:p>
        </w:tc>
      </w:tr>
      <w:tr w:rsidR="00B03F3A" w:rsidRPr="00B758F2" w:rsidTr="00CA6761">
        <w:tc>
          <w:tcPr>
            <w:tcW w:w="2943" w:type="dxa"/>
            <w:hideMark/>
          </w:tcPr>
          <w:p w:rsidR="00CA6761" w:rsidRPr="00B758F2" w:rsidRDefault="00CA6761" w:rsidP="00A1147C">
            <w:pPr>
              <w:pStyle w:val="BodyText1"/>
            </w:pPr>
          </w:p>
          <w:p w:rsidR="00B03F3A" w:rsidRPr="00B758F2" w:rsidRDefault="00B03F3A" w:rsidP="00A1147C">
            <w:pPr>
              <w:pStyle w:val="BodyText1"/>
            </w:pPr>
            <w:r w:rsidRPr="00B758F2">
              <w:t>Student Name:</w:t>
            </w:r>
          </w:p>
        </w:tc>
        <w:tc>
          <w:tcPr>
            <w:tcW w:w="6237" w:type="dxa"/>
            <w:tcBorders>
              <w:top w:val="single" w:sz="4" w:space="0" w:color="auto"/>
              <w:left w:val="nil"/>
              <w:bottom w:val="single" w:sz="4" w:space="0" w:color="auto"/>
              <w:right w:val="nil"/>
            </w:tcBorders>
          </w:tcPr>
          <w:p w:rsidR="00B03F3A" w:rsidRPr="00B758F2" w:rsidRDefault="00B03F3A" w:rsidP="00A1147C">
            <w:pPr>
              <w:pStyle w:val="BodyText1"/>
            </w:pPr>
          </w:p>
        </w:tc>
      </w:tr>
      <w:tr w:rsidR="00B03F3A" w:rsidRPr="00B758F2" w:rsidTr="00CA6761">
        <w:tc>
          <w:tcPr>
            <w:tcW w:w="2943" w:type="dxa"/>
            <w:hideMark/>
          </w:tcPr>
          <w:p w:rsidR="00CA6761" w:rsidRPr="00B758F2" w:rsidRDefault="00CA6761" w:rsidP="00A1147C">
            <w:pPr>
              <w:pStyle w:val="BodyText1"/>
            </w:pPr>
          </w:p>
          <w:p w:rsidR="00B03F3A" w:rsidRPr="00B758F2" w:rsidRDefault="00B03F3A" w:rsidP="00A1147C">
            <w:pPr>
              <w:pStyle w:val="BodyText1"/>
            </w:pPr>
            <w:r w:rsidRPr="00B758F2">
              <w:t>Student Number:</w:t>
            </w:r>
          </w:p>
        </w:tc>
        <w:tc>
          <w:tcPr>
            <w:tcW w:w="6237" w:type="dxa"/>
            <w:tcBorders>
              <w:top w:val="single" w:sz="4" w:space="0" w:color="auto"/>
              <w:left w:val="nil"/>
              <w:bottom w:val="single" w:sz="4" w:space="0" w:color="auto"/>
              <w:right w:val="nil"/>
            </w:tcBorders>
          </w:tcPr>
          <w:p w:rsidR="00B03F3A" w:rsidRPr="00B758F2" w:rsidRDefault="00B03F3A" w:rsidP="00A1147C">
            <w:pPr>
              <w:pStyle w:val="BodyText1"/>
            </w:pPr>
          </w:p>
        </w:tc>
      </w:tr>
      <w:tr w:rsidR="00B03F3A" w:rsidRPr="00B758F2" w:rsidTr="00CA6761">
        <w:tc>
          <w:tcPr>
            <w:tcW w:w="2943" w:type="dxa"/>
            <w:hideMark/>
          </w:tcPr>
          <w:p w:rsidR="00CA6761" w:rsidRPr="00B758F2" w:rsidRDefault="00CA6761" w:rsidP="00A1147C">
            <w:pPr>
              <w:pStyle w:val="BodyText1"/>
            </w:pPr>
          </w:p>
          <w:p w:rsidR="00B03F3A" w:rsidRPr="00B758F2" w:rsidRDefault="00B03F3A" w:rsidP="00A1147C">
            <w:pPr>
              <w:pStyle w:val="BodyText1"/>
            </w:pPr>
            <w:r w:rsidRPr="00B758F2">
              <w:t>School/Department:</w:t>
            </w:r>
          </w:p>
        </w:tc>
        <w:tc>
          <w:tcPr>
            <w:tcW w:w="6237" w:type="dxa"/>
            <w:tcBorders>
              <w:top w:val="single" w:sz="4" w:space="0" w:color="auto"/>
              <w:left w:val="nil"/>
              <w:bottom w:val="single" w:sz="4" w:space="0" w:color="auto"/>
              <w:right w:val="nil"/>
            </w:tcBorders>
          </w:tcPr>
          <w:p w:rsidR="00B03F3A" w:rsidRPr="00B758F2" w:rsidRDefault="00B03F3A" w:rsidP="00A1147C">
            <w:pPr>
              <w:pStyle w:val="BodyText1"/>
            </w:pPr>
          </w:p>
        </w:tc>
      </w:tr>
      <w:tr w:rsidR="00B03F3A" w:rsidRPr="00B758F2" w:rsidTr="00CA6761">
        <w:tc>
          <w:tcPr>
            <w:tcW w:w="2943" w:type="dxa"/>
            <w:hideMark/>
          </w:tcPr>
          <w:p w:rsidR="00CA6761" w:rsidRPr="00B758F2" w:rsidRDefault="00CA6761" w:rsidP="00A1147C">
            <w:pPr>
              <w:pStyle w:val="BodyText1"/>
            </w:pPr>
          </w:p>
          <w:p w:rsidR="00B03F3A" w:rsidRPr="00B758F2" w:rsidRDefault="00B03F3A" w:rsidP="00A1147C">
            <w:pPr>
              <w:pStyle w:val="BodyText1"/>
            </w:pPr>
            <w:r w:rsidRPr="00B758F2">
              <w:t>Scholarship Start Date:</w:t>
            </w:r>
          </w:p>
        </w:tc>
        <w:tc>
          <w:tcPr>
            <w:tcW w:w="6237" w:type="dxa"/>
            <w:tcBorders>
              <w:top w:val="single" w:sz="4" w:space="0" w:color="auto"/>
              <w:left w:val="nil"/>
              <w:bottom w:val="single" w:sz="4" w:space="0" w:color="auto"/>
              <w:right w:val="nil"/>
            </w:tcBorders>
          </w:tcPr>
          <w:p w:rsidR="00B03F3A" w:rsidRPr="00B758F2" w:rsidRDefault="00B03F3A" w:rsidP="00A1147C">
            <w:pPr>
              <w:pStyle w:val="BodyText1"/>
            </w:pPr>
          </w:p>
        </w:tc>
      </w:tr>
      <w:tr w:rsidR="00B03F3A" w:rsidRPr="00B758F2" w:rsidTr="00CA6761">
        <w:tc>
          <w:tcPr>
            <w:tcW w:w="2943" w:type="dxa"/>
            <w:hideMark/>
          </w:tcPr>
          <w:p w:rsidR="00CA6761" w:rsidRPr="00B758F2" w:rsidRDefault="00CA6761" w:rsidP="00A1147C">
            <w:pPr>
              <w:pStyle w:val="BodyText1"/>
            </w:pPr>
          </w:p>
          <w:p w:rsidR="00B03F3A" w:rsidRPr="00B758F2" w:rsidRDefault="00B03F3A" w:rsidP="00A1147C">
            <w:pPr>
              <w:pStyle w:val="BodyText1"/>
            </w:pPr>
            <w:r w:rsidRPr="00B758F2">
              <w:t>Date:</w:t>
            </w:r>
          </w:p>
        </w:tc>
        <w:tc>
          <w:tcPr>
            <w:tcW w:w="6237" w:type="dxa"/>
            <w:tcBorders>
              <w:top w:val="nil"/>
              <w:left w:val="nil"/>
              <w:bottom w:val="single" w:sz="4" w:space="0" w:color="auto"/>
              <w:right w:val="nil"/>
            </w:tcBorders>
          </w:tcPr>
          <w:p w:rsidR="00B03F3A" w:rsidRPr="00B758F2" w:rsidRDefault="00B03F3A" w:rsidP="00A1147C">
            <w:pPr>
              <w:pStyle w:val="BodyText1"/>
            </w:pPr>
          </w:p>
        </w:tc>
      </w:t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tbl>
    <w:p w:rsidR="00B03F3A" w:rsidRPr="00B758F2" w:rsidRDefault="00B03F3A" w:rsidP="00A1147C">
      <w:pPr>
        <w:pStyle w:val="BodyText1"/>
      </w:pPr>
    </w:p>
    <w:p w:rsidR="00DC39E5" w:rsidRPr="00B758F2" w:rsidRDefault="00DC39E5" w:rsidP="00A1147C">
      <w:pPr>
        <w:pStyle w:val="BodyText1"/>
      </w:pPr>
    </w:p>
    <w:p w:rsidR="00A73223" w:rsidRPr="00B758F2" w:rsidRDefault="00A73223" w:rsidP="00A1147C">
      <w:pPr>
        <w:pStyle w:val="BodyText1"/>
      </w:pPr>
    </w:p>
    <w:p w:rsidR="00DC39E5" w:rsidRPr="00B758F2" w:rsidRDefault="00DC39E5" w:rsidP="00A1147C">
      <w:pPr>
        <w:pStyle w:val="BodyText1"/>
      </w:pPr>
    </w:p>
    <w:p w:rsidR="00DC39E5" w:rsidRPr="00B758F2" w:rsidRDefault="00DC39E5" w:rsidP="00A1147C">
      <w:pPr>
        <w:pStyle w:val="BodyText1"/>
      </w:pPr>
      <w:r w:rsidRPr="00B758F2">
        <w:t>PLEASE SIGN AND RETURN THE ENTIRE/COMPLETE COPY OF THE CONDITIONS OF AWARD TO:</w:t>
      </w:r>
    </w:p>
    <w:p w:rsidR="00DC39E5" w:rsidRPr="00B758F2" w:rsidRDefault="00DC39E5" w:rsidP="00A1147C">
      <w:pPr>
        <w:pStyle w:val="BodyText1"/>
      </w:pPr>
    </w:p>
    <w:p w:rsidR="00DC39E5" w:rsidRPr="00B758F2" w:rsidRDefault="00DC39E5" w:rsidP="00A1147C">
      <w:pPr>
        <w:pStyle w:val="BodyText1"/>
      </w:pPr>
      <w:r w:rsidRPr="00B758F2">
        <w:t>Manager, Scholarships</w:t>
      </w:r>
    </w:p>
    <w:p w:rsidR="00DC39E5" w:rsidRPr="00B758F2" w:rsidRDefault="00DC39E5" w:rsidP="00A1147C">
      <w:pPr>
        <w:pStyle w:val="BodyText1"/>
      </w:pPr>
      <w:r w:rsidRPr="00B758F2">
        <w:t xml:space="preserve">Office of Research and Development </w:t>
      </w:r>
    </w:p>
    <w:p w:rsidR="00DC39E5" w:rsidRPr="00B758F2" w:rsidRDefault="00DC39E5" w:rsidP="00A1147C">
      <w:pPr>
        <w:pStyle w:val="BodyText1"/>
      </w:pPr>
      <w:r w:rsidRPr="00B758F2">
        <w:t>Curtin University</w:t>
      </w:r>
    </w:p>
    <w:p w:rsidR="00DC39E5" w:rsidRPr="00B758F2" w:rsidRDefault="00DC39E5" w:rsidP="00A1147C">
      <w:pPr>
        <w:pStyle w:val="BodyText1"/>
      </w:pPr>
      <w:r w:rsidRPr="00B758F2">
        <w:t>GPO Box U1987</w:t>
      </w:r>
    </w:p>
    <w:p w:rsidR="00DC39E5" w:rsidRPr="00E748DA" w:rsidRDefault="00DC39E5" w:rsidP="00A1147C">
      <w:pPr>
        <w:pStyle w:val="BodyText1"/>
      </w:pPr>
      <w:r w:rsidRPr="00B758F2">
        <w:t>PERTH WA 6845</w:t>
      </w:r>
    </w:p>
    <w:p w:rsidR="00DC39E5" w:rsidRDefault="00DC39E5" w:rsidP="00A1147C">
      <w:pPr>
        <w:pStyle w:val="BodyText1"/>
      </w:pPr>
    </w:p>
    <w:p w:rsidR="00DC39E5" w:rsidRPr="00E748DA" w:rsidRDefault="00DC39E5" w:rsidP="00A1147C">
      <w:pPr>
        <w:pStyle w:val="BodyText1"/>
      </w:pPr>
    </w:p>
    <w:sectPr w:rsidR="00DC39E5" w:rsidRPr="00E748DA" w:rsidSect="000072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64" w:rsidRDefault="00C33B64" w:rsidP="00890846">
      <w:r>
        <w:separator/>
      </w:r>
    </w:p>
  </w:endnote>
  <w:endnote w:type="continuationSeparator" w:id="0">
    <w:p w:rsidR="00C33B64" w:rsidRDefault="00C33B64" w:rsidP="0089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64" w:rsidRDefault="00E03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594352"/>
      <w:docPartObj>
        <w:docPartGallery w:val="Page Numbers (Bottom of Page)"/>
        <w:docPartUnique/>
      </w:docPartObj>
    </w:sdtPr>
    <w:sdtEndPr>
      <w:rPr>
        <w:noProof/>
      </w:rPr>
    </w:sdtEndPr>
    <w:sdtContent>
      <w:p w:rsidR="00863C09" w:rsidRDefault="00863C09">
        <w:pPr>
          <w:pStyle w:val="Footer"/>
          <w:jc w:val="right"/>
        </w:pPr>
        <w:r w:rsidRPr="00863C09">
          <w:rPr>
            <w:rFonts w:ascii="Arial" w:hAnsi="Arial"/>
            <w:sz w:val="18"/>
          </w:rPr>
          <w:fldChar w:fldCharType="begin"/>
        </w:r>
        <w:r w:rsidRPr="00863C09">
          <w:rPr>
            <w:rFonts w:ascii="Arial" w:hAnsi="Arial"/>
            <w:sz w:val="18"/>
          </w:rPr>
          <w:instrText xml:space="preserve"> PAGE   \* MERGEFORMAT </w:instrText>
        </w:r>
        <w:r w:rsidRPr="00863C09">
          <w:rPr>
            <w:rFonts w:ascii="Arial" w:hAnsi="Arial"/>
            <w:sz w:val="18"/>
          </w:rPr>
          <w:fldChar w:fldCharType="separate"/>
        </w:r>
        <w:r w:rsidR="00E03264">
          <w:rPr>
            <w:rFonts w:ascii="Arial" w:hAnsi="Arial"/>
            <w:noProof/>
            <w:sz w:val="18"/>
          </w:rPr>
          <w:t>1</w:t>
        </w:r>
        <w:r w:rsidRPr="00863C09">
          <w:rPr>
            <w:rFonts w:ascii="Arial" w:hAnsi="Arial"/>
            <w:noProof/>
            <w:sz w:val="18"/>
          </w:rPr>
          <w:fldChar w:fldCharType="end"/>
        </w:r>
      </w:p>
    </w:sdtContent>
  </w:sdt>
  <w:p w:rsidR="00863C09" w:rsidRDefault="00863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64" w:rsidRDefault="00E03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64" w:rsidRDefault="00C33B64" w:rsidP="00890846">
      <w:r>
        <w:separator/>
      </w:r>
    </w:p>
  </w:footnote>
  <w:footnote w:type="continuationSeparator" w:id="0">
    <w:p w:rsidR="00C33B64" w:rsidRDefault="00C33B64" w:rsidP="00890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64" w:rsidRDefault="00E03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F2" w:rsidRPr="0066303D" w:rsidRDefault="00B90126" w:rsidP="00A1147C">
    <w:pPr>
      <w:pStyle w:val="Header"/>
      <w:tabs>
        <w:tab w:val="clear" w:pos="9026"/>
        <w:tab w:val="right" w:pos="9781"/>
      </w:tabs>
      <w:jc w:val="right"/>
      <w:rPr>
        <w:rFonts w:ascii="Arial" w:hAnsi="Arial" w:cs="Arial"/>
        <w:sz w:val="20"/>
        <w:szCs w:val="20"/>
      </w:rPr>
    </w:pPr>
    <w:bookmarkStart w:id="48" w:name="_GoBack"/>
    <w:r>
      <w:rPr>
        <w:noProof/>
        <w:lang w:eastAsia="en-AU"/>
      </w:rPr>
      <w:drawing>
        <wp:anchor distT="0" distB="0" distL="114300" distR="114300" simplePos="0" relativeHeight="251657728" behindDoc="1" locked="0" layoutInCell="1" allowOverlap="1">
          <wp:simplePos x="0" y="0"/>
          <wp:positionH relativeFrom="column">
            <wp:posOffset>2287270</wp:posOffset>
          </wp:positionH>
          <wp:positionV relativeFrom="paragraph">
            <wp:posOffset>-285750</wp:posOffset>
          </wp:positionV>
          <wp:extent cx="4086225" cy="590550"/>
          <wp:effectExtent l="0" t="0" r="9525" b="0"/>
          <wp:wrapNone/>
          <wp:docPr id="1" name="Picture 1" descr="Bankwest Curtin Economics Centre logo lock-up 12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west Curtin Economics Centre logo lock-up 121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225" cy="590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64" w:rsidRDefault="00E03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371"/>
    <w:multiLevelType w:val="hybridMultilevel"/>
    <w:tmpl w:val="BEBE32A8"/>
    <w:lvl w:ilvl="0" w:tplc="6F9E5862">
      <w:start w:val="1"/>
      <w:numFmt w:val="lowerRoman"/>
      <w:lvlText w:val="(%1)"/>
      <w:lvlJc w:val="left"/>
      <w:pPr>
        <w:ind w:left="1800" w:hanging="720"/>
      </w:pPr>
      <w:rPr>
        <w:rFonts w:hint="default"/>
      </w:r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1" w15:restartNumberingAfterBreak="0">
    <w:nsid w:val="095944BF"/>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270A3"/>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D10743"/>
    <w:multiLevelType w:val="hybridMultilevel"/>
    <w:tmpl w:val="BEBE32A8"/>
    <w:lvl w:ilvl="0" w:tplc="6F9E5862">
      <w:start w:val="1"/>
      <w:numFmt w:val="lowerRoman"/>
      <w:lvlText w:val="(%1)"/>
      <w:lvlJc w:val="left"/>
      <w:pPr>
        <w:ind w:left="1800" w:hanging="720"/>
      </w:pPr>
      <w:rPr>
        <w:rFonts w:hint="default"/>
      </w:r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4" w15:restartNumberingAfterBreak="0">
    <w:nsid w:val="0DBD50C3"/>
    <w:multiLevelType w:val="multilevel"/>
    <w:tmpl w:val="3166A390"/>
    <w:lvl w:ilvl="0">
      <w:start w:val="1"/>
      <w:numFmt w:val="decimal"/>
      <w:lvlText w:val="3.%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 w15:restartNumberingAfterBreak="0">
    <w:nsid w:val="0DC73208"/>
    <w:multiLevelType w:val="hybridMultilevel"/>
    <w:tmpl w:val="2660A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E92A82"/>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2C3EAF"/>
    <w:multiLevelType w:val="hybridMultilevel"/>
    <w:tmpl w:val="0FB4F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A4D0F"/>
    <w:multiLevelType w:val="hybridMultilevel"/>
    <w:tmpl w:val="DEA88588"/>
    <w:lvl w:ilvl="0" w:tplc="78B42FE2">
      <w:start w:val="1"/>
      <w:numFmt w:val="decimal"/>
      <w:lvlText w:val="%1."/>
      <w:lvlJc w:val="left"/>
      <w:pPr>
        <w:ind w:left="541" w:hanging="540"/>
      </w:pPr>
      <w:rPr>
        <w:rFonts w:hint="default"/>
      </w:rPr>
    </w:lvl>
    <w:lvl w:ilvl="1" w:tplc="0C090019">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9" w15:restartNumberingAfterBreak="0">
    <w:nsid w:val="211B39A9"/>
    <w:multiLevelType w:val="hybridMultilevel"/>
    <w:tmpl w:val="702A639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22960711"/>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A64DB7"/>
    <w:multiLevelType w:val="hybridMultilevel"/>
    <w:tmpl w:val="DEA88588"/>
    <w:lvl w:ilvl="0" w:tplc="78B42FE2">
      <w:start w:val="1"/>
      <w:numFmt w:val="decimal"/>
      <w:lvlText w:val="%1."/>
      <w:lvlJc w:val="left"/>
      <w:pPr>
        <w:ind w:left="541" w:hanging="540"/>
      </w:pPr>
      <w:rPr>
        <w:rFonts w:hint="default"/>
      </w:rPr>
    </w:lvl>
    <w:lvl w:ilvl="1" w:tplc="0C090019">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12" w15:restartNumberingAfterBreak="0">
    <w:nsid w:val="2B2A2E45"/>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117781"/>
    <w:multiLevelType w:val="hybridMultilevel"/>
    <w:tmpl w:val="A5287978"/>
    <w:lvl w:ilvl="0" w:tplc="7F0C52E0">
      <w:start w:val="1"/>
      <w:numFmt w:val="lowerLetter"/>
      <w:lvlText w:val="(%1)"/>
      <w:lvlJc w:val="left"/>
      <w:pPr>
        <w:ind w:left="361" w:hanging="360"/>
      </w:pPr>
      <w:rPr>
        <w:rFonts w:hint="default"/>
      </w:rPr>
    </w:lvl>
    <w:lvl w:ilvl="1" w:tplc="6F9E5862">
      <w:start w:val="1"/>
      <w:numFmt w:val="lowerRoman"/>
      <w:lvlText w:val="(%2)"/>
      <w:lvlJc w:val="left"/>
      <w:pPr>
        <w:ind w:left="1441" w:hanging="720"/>
      </w:pPr>
      <w:rPr>
        <w:rFonts w:hint="default"/>
      </w:r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14" w15:restartNumberingAfterBreak="0">
    <w:nsid w:val="3C0268E9"/>
    <w:multiLevelType w:val="hybridMultilevel"/>
    <w:tmpl w:val="A5287978"/>
    <w:lvl w:ilvl="0" w:tplc="7F0C52E0">
      <w:start w:val="1"/>
      <w:numFmt w:val="lowerLetter"/>
      <w:lvlText w:val="(%1)"/>
      <w:lvlJc w:val="left"/>
      <w:pPr>
        <w:ind w:left="361" w:hanging="360"/>
      </w:pPr>
      <w:rPr>
        <w:rFonts w:hint="default"/>
      </w:rPr>
    </w:lvl>
    <w:lvl w:ilvl="1" w:tplc="6F9E5862">
      <w:start w:val="1"/>
      <w:numFmt w:val="lowerRoman"/>
      <w:lvlText w:val="(%2)"/>
      <w:lvlJc w:val="left"/>
      <w:pPr>
        <w:ind w:left="1441" w:hanging="720"/>
      </w:pPr>
      <w:rPr>
        <w:rFonts w:hint="default"/>
      </w:r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15" w15:restartNumberingAfterBreak="0">
    <w:nsid w:val="3CCC2766"/>
    <w:multiLevelType w:val="hybridMultilevel"/>
    <w:tmpl w:val="72442FF6"/>
    <w:lvl w:ilvl="0" w:tplc="6F9E5862">
      <w:start w:val="1"/>
      <w:numFmt w:val="lowerRoman"/>
      <w:lvlText w:val="(%1)"/>
      <w:lvlJc w:val="left"/>
      <w:pPr>
        <w:ind w:left="1441"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4C3D24"/>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E70CC0"/>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93ED8"/>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22141E"/>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890663"/>
    <w:multiLevelType w:val="multilevel"/>
    <w:tmpl w:val="881412BC"/>
    <w:lvl w:ilvl="0">
      <w:start w:val="5"/>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1" w15:restartNumberingAfterBreak="0">
    <w:nsid w:val="4F0717E9"/>
    <w:multiLevelType w:val="multilevel"/>
    <w:tmpl w:val="7E9A6950"/>
    <w:lvl w:ilvl="0">
      <w:start w:val="1"/>
      <w:numFmt w:val="none"/>
      <w:pStyle w:val="HeadingA"/>
      <w:lvlText w:val=""/>
      <w:lvlJc w:val="left"/>
      <w:pPr>
        <w:tabs>
          <w:tab w:val="num" w:pos="432"/>
        </w:tabs>
        <w:ind w:left="432" w:hanging="432"/>
      </w:pPr>
    </w:lvl>
    <w:lvl w:ilvl="1">
      <w:start w:val="2"/>
      <w:numFmt w:val="decimal"/>
      <w:lvlText w:val="%2%1."/>
      <w:lvlJc w:val="left"/>
      <w:pPr>
        <w:tabs>
          <w:tab w:val="num" w:pos="889"/>
        </w:tabs>
        <w:ind w:left="889" w:hanging="709"/>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1080"/>
        </w:tabs>
        <w:ind w:left="864" w:hanging="864"/>
      </w:pPr>
    </w:lvl>
    <w:lvl w:ilvl="4">
      <w:start w:val="1"/>
      <w:numFmt w:val="none"/>
      <w:lvlText w:val=""/>
      <w:lvlJc w:val="left"/>
      <w:pPr>
        <w:tabs>
          <w:tab w:val="num" w:pos="1008"/>
        </w:tabs>
        <w:ind w:left="1008" w:hanging="1008"/>
      </w:pPr>
    </w:lvl>
    <w:lvl w:ilvl="5">
      <w:start w:val="1"/>
      <w:numFmt w:val="decimal"/>
      <w:pStyle w:val="Heading6"/>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51707BD7"/>
    <w:multiLevelType w:val="hybridMultilevel"/>
    <w:tmpl w:val="BEBE32A8"/>
    <w:lvl w:ilvl="0" w:tplc="6F9E5862">
      <w:start w:val="1"/>
      <w:numFmt w:val="lowerRoman"/>
      <w:lvlText w:val="(%1)"/>
      <w:lvlJc w:val="left"/>
      <w:pPr>
        <w:ind w:left="1800" w:hanging="720"/>
      </w:pPr>
      <w:rPr>
        <w:rFonts w:hint="default"/>
      </w:r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23" w15:restartNumberingAfterBreak="0">
    <w:nsid w:val="53565763"/>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CD0DA1"/>
    <w:multiLevelType w:val="hybridMultilevel"/>
    <w:tmpl w:val="BEBE32A8"/>
    <w:lvl w:ilvl="0" w:tplc="6F9E5862">
      <w:start w:val="1"/>
      <w:numFmt w:val="lowerRoman"/>
      <w:lvlText w:val="(%1)"/>
      <w:lvlJc w:val="left"/>
      <w:pPr>
        <w:ind w:left="1800" w:hanging="720"/>
      </w:pPr>
      <w:rPr>
        <w:rFonts w:hint="default"/>
      </w:r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25" w15:restartNumberingAfterBreak="0">
    <w:nsid w:val="5F5C2287"/>
    <w:multiLevelType w:val="hybridMultilevel"/>
    <w:tmpl w:val="A5287978"/>
    <w:lvl w:ilvl="0" w:tplc="7F0C52E0">
      <w:start w:val="1"/>
      <w:numFmt w:val="lowerLetter"/>
      <w:lvlText w:val="(%1)"/>
      <w:lvlJc w:val="left"/>
      <w:pPr>
        <w:ind w:left="361" w:hanging="360"/>
      </w:pPr>
      <w:rPr>
        <w:rFonts w:hint="default"/>
      </w:rPr>
    </w:lvl>
    <w:lvl w:ilvl="1" w:tplc="6F9E5862">
      <w:start w:val="1"/>
      <w:numFmt w:val="lowerRoman"/>
      <w:lvlText w:val="(%2)"/>
      <w:lvlJc w:val="left"/>
      <w:pPr>
        <w:ind w:left="1441" w:hanging="720"/>
      </w:pPr>
      <w:rPr>
        <w:rFonts w:hint="default"/>
      </w:r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6" w15:restartNumberingAfterBreak="0">
    <w:nsid w:val="66690B73"/>
    <w:multiLevelType w:val="hybridMultilevel"/>
    <w:tmpl w:val="BEBE32A8"/>
    <w:lvl w:ilvl="0" w:tplc="6F9E5862">
      <w:start w:val="1"/>
      <w:numFmt w:val="lowerRoman"/>
      <w:lvlText w:val="(%1)"/>
      <w:lvlJc w:val="left"/>
      <w:pPr>
        <w:ind w:left="720" w:hanging="720"/>
      </w:pPr>
      <w:rPr>
        <w:rFonts w:hint="default"/>
      </w:r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27" w15:restartNumberingAfterBreak="0">
    <w:nsid w:val="6CE55B42"/>
    <w:multiLevelType w:val="hybridMultilevel"/>
    <w:tmpl w:val="A5287978"/>
    <w:lvl w:ilvl="0" w:tplc="7F0C52E0">
      <w:start w:val="1"/>
      <w:numFmt w:val="lowerLetter"/>
      <w:lvlText w:val="(%1)"/>
      <w:lvlJc w:val="left"/>
      <w:pPr>
        <w:ind w:left="928" w:hanging="360"/>
      </w:pPr>
      <w:rPr>
        <w:rFonts w:hint="default"/>
      </w:rPr>
    </w:lvl>
    <w:lvl w:ilvl="1" w:tplc="6F9E5862">
      <w:start w:val="1"/>
      <w:numFmt w:val="lowerRoman"/>
      <w:lvlText w:val="(%2)"/>
      <w:lvlJc w:val="left"/>
      <w:pPr>
        <w:ind w:left="2008" w:hanging="720"/>
      </w:pPr>
      <w:rPr>
        <w:rFonts w:hint="default"/>
      </w:r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8" w15:restartNumberingAfterBreak="0">
    <w:nsid w:val="6E0D4140"/>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4301D6"/>
    <w:multiLevelType w:val="hybridMultilevel"/>
    <w:tmpl w:val="C7CA4586"/>
    <w:lvl w:ilvl="0" w:tplc="7F0C52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E727FC"/>
    <w:multiLevelType w:val="hybridMultilevel"/>
    <w:tmpl w:val="A5287978"/>
    <w:lvl w:ilvl="0" w:tplc="7F0C52E0">
      <w:start w:val="1"/>
      <w:numFmt w:val="lowerLetter"/>
      <w:lvlText w:val="(%1)"/>
      <w:lvlJc w:val="left"/>
      <w:pPr>
        <w:ind w:left="361" w:hanging="360"/>
      </w:pPr>
      <w:rPr>
        <w:rFonts w:hint="default"/>
      </w:rPr>
    </w:lvl>
    <w:lvl w:ilvl="1" w:tplc="6F9E5862">
      <w:start w:val="1"/>
      <w:numFmt w:val="lowerRoman"/>
      <w:lvlText w:val="(%2)"/>
      <w:lvlJc w:val="left"/>
      <w:pPr>
        <w:ind w:left="1441" w:hanging="720"/>
      </w:pPr>
      <w:rPr>
        <w:rFonts w:hint="default"/>
      </w:r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num w:numId="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1"/>
  </w:num>
  <w:num w:numId="4">
    <w:abstractNumId w:val="30"/>
  </w:num>
  <w:num w:numId="5">
    <w:abstractNumId w:val="4"/>
  </w:num>
  <w:num w:numId="6">
    <w:abstractNumId w:val="27"/>
  </w:num>
  <w:num w:numId="7">
    <w:abstractNumId w:val="15"/>
  </w:num>
  <w:num w:numId="8">
    <w:abstractNumId w:val="13"/>
  </w:num>
  <w:num w:numId="9">
    <w:abstractNumId w:val="14"/>
  </w:num>
  <w:num w:numId="10">
    <w:abstractNumId w:val="26"/>
  </w:num>
  <w:num w:numId="11">
    <w:abstractNumId w:val="17"/>
  </w:num>
  <w:num w:numId="12">
    <w:abstractNumId w:val="1"/>
  </w:num>
  <w:num w:numId="13">
    <w:abstractNumId w:val="28"/>
  </w:num>
  <w:num w:numId="14">
    <w:abstractNumId w:val="23"/>
  </w:num>
  <w:num w:numId="15">
    <w:abstractNumId w:val="22"/>
  </w:num>
  <w:num w:numId="16">
    <w:abstractNumId w:val="19"/>
  </w:num>
  <w:num w:numId="17">
    <w:abstractNumId w:val="24"/>
  </w:num>
  <w:num w:numId="18">
    <w:abstractNumId w:val="12"/>
  </w:num>
  <w:num w:numId="19">
    <w:abstractNumId w:val="3"/>
  </w:num>
  <w:num w:numId="20">
    <w:abstractNumId w:val="29"/>
  </w:num>
  <w:num w:numId="21">
    <w:abstractNumId w:val="2"/>
  </w:num>
  <w:num w:numId="22">
    <w:abstractNumId w:val="10"/>
  </w:num>
  <w:num w:numId="23">
    <w:abstractNumId w:val="18"/>
  </w:num>
  <w:num w:numId="24">
    <w:abstractNumId w:val="16"/>
  </w:num>
  <w:num w:numId="25">
    <w:abstractNumId w:val="6"/>
  </w:num>
  <w:num w:numId="26">
    <w:abstractNumId w:val="0"/>
  </w:num>
  <w:num w:numId="2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8"/>
  </w:num>
  <w:num w:numId="31">
    <w:abstractNumId w:val="5"/>
  </w:num>
  <w:num w:numId="3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3A"/>
    <w:rsid w:val="000009B4"/>
    <w:rsid w:val="00007242"/>
    <w:rsid w:val="00015828"/>
    <w:rsid w:val="00027EE2"/>
    <w:rsid w:val="00033273"/>
    <w:rsid w:val="0004512B"/>
    <w:rsid w:val="0005486F"/>
    <w:rsid w:val="000626D6"/>
    <w:rsid w:val="00073B22"/>
    <w:rsid w:val="00073DAA"/>
    <w:rsid w:val="000925F5"/>
    <w:rsid w:val="000A5E50"/>
    <w:rsid w:val="000A6375"/>
    <w:rsid w:val="000D531B"/>
    <w:rsid w:val="000E4802"/>
    <w:rsid w:val="000F4DB0"/>
    <w:rsid w:val="000F724C"/>
    <w:rsid w:val="00112736"/>
    <w:rsid w:val="0011627D"/>
    <w:rsid w:val="00126ACA"/>
    <w:rsid w:val="00146FB8"/>
    <w:rsid w:val="00161E13"/>
    <w:rsid w:val="001676DB"/>
    <w:rsid w:val="0016793C"/>
    <w:rsid w:val="00180EB3"/>
    <w:rsid w:val="001B1905"/>
    <w:rsid w:val="001D0D10"/>
    <w:rsid w:val="001D2847"/>
    <w:rsid w:val="001E046E"/>
    <w:rsid w:val="001E5AB1"/>
    <w:rsid w:val="001F1951"/>
    <w:rsid w:val="001F35E0"/>
    <w:rsid w:val="0020531C"/>
    <w:rsid w:val="0021540F"/>
    <w:rsid w:val="002306F8"/>
    <w:rsid w:val="00230865"/>
    <w:rsid w:val="00232AB8"/>
    <w:rsid w:val="002362F4"/>
    <w:rsid w:val="00252165"/>
    <w:rsid w:val="00260934"/>
    <w:rsid w:val="00260B0F"/>
    <w:rsid w:val="00262C34"/>
    <w:rsid w:val="00265768"/>
    <w:rsid w:val="00275C90"/>
    <w:rsid w:val="002922CE"/>
    <w:rsid w:val="002A3C21"/>
    <w:rsid w:val="002B0DDE"/>
    <w:rsid w:val="002B4D4E"/>
    <w:rsid w:val="002B756B"/>
    <w:rsid w:val="002D5493"/>
    <w:rsid w:val="002E0838"/>
    <w:rsid w:val="002E2031"/>
    <w:rsid w:val="002E30E2"/>
    <w:rsid w:val="00300B06"/>
    <w:rsid w:val="00316020"/>
    <w:rsid w:val="00322372"/>
    <w:rsid w:val="003249D6"/>
    <w:rsid w:val="003458C1"/>
    <w:rsid w:val="00352BF1"/>
    <w:rsid w:val="0037515B"/>
    <w:rsid w:val="00381DB2"/>
    <w:rsid w:val="00387660"/>
    <w:rsid w:val="003A252C"/>
    <w:rsid w:val="003A5DEC"/>
    <w:rsid w:val="003B4DEC"/>
    <w:rsid w:val="003C0349"/>
    <w:rsid w:val="003C52D9"/>
    <w:rsid w:val="003E0E2C"/>
    <w:rsid w:val="003E26ED"/>
    <w:rsid w:val="003E35E8"/>
    <w:rsid w:val="004009CE"/>
    <w:rsid w:val="004047A7"/>
    <w:rsid w:val="00405746"/>
    <w:rsid w:val="004218DC"/>
    <w:rsid w:val="00423A70"/>
    <w:rsid w:val="004312F9"/>
    <w:rsid w:val="004411DE"/>
    <w:rsid w:val="00446461"/>
    <w:rsid w:val="00452E97"/>
    <w:rsid w:val="00491C97"/>
    <w:rsid w:val="004A63C0"/>
    <w:rsid w:val="004A737F"/>
    <w:rsid w:val="004B10FD"/>
    <w:rsid w:val="004B720C"/>
    <w:rsid w:val="004C47D3"/>
    <w:rsid w:val="004D5333"/>
    <w:rsid w:val="004E4FE5"/>
    <w:rsid w:val="004F0CF6"/>
    <w:rsid w:val="00504FD7"/>
    <w:rsid w:val="00516EB5"/>
    <w:rsid w:val="00523873"/>
    <w:rsid w:val="00533AAE"/>
    <w:rsid w:val="005369E5"/>
    <w:rsid w:val="0054078A"/>
    <w:rsid w:val="0054491A"/>
    <w:rsid w:val="00551F72"/>
    <w:rsid w:val="00552BC2"/>
    <w:rsid w:val="0056061E"/>
    <w:rsid w:val="00564C15"/>
    <w:rsid w:val="00575F2E"/>
    <w:rsid w:val="0057747A"/>
    <w:rsid w:val="005905B9"/>
    <w:rsid w:val="005A317C"/>
    <w:rsid w:val="005A52DD"/>
    <w:rsid w:val="005B28B0"/>
    <w:rsid w:val="005B5563"/>
    <w:rsid w:val="005C6794"/>
    <w:rsid w:val="00605EA3"/>
    <w:rsid w:val="00606131"/>
    <w:rsid w:val="00620863"/>
    <w:rsid w:val="00624165"/>
    <w:rsid w:val="00640C4E"/>
    <w:rsid w:val="006458EA"/>
    <w:rsid w:val="00655D53"/>
    <w:rsid w:val="0066303D"/>
    <w:rsid w:val="00664B6B"/>
    <w:rsid w:val="006915AD"/>
    <w:rsid w:val="006D6653"/>
    <w:rsid w:val="006D710A"/>
    <w:rsid w:val="00710BF4"/>
    <w:rsid w:val="00712D1B"/>
    <w:rsid w:val="00713554"/>
    <w:rsid w:val="007229F2"/>
    <w:rsid w:val="00723CFB"/>
    <w:rsid w:val="00733574"/>
    <w:rsid w:val="00733F89"/>
    <w:rsid w:val="00750420"/>
    <w:rsid w:val="007538EA"/>
    <w:rsid w:val="00763B4E"/>
    <w:rsid w:val="00773577"/>
    <w:rsid w:val="007777F6"/>
    <w:rsid w:val="00783957"/>
    <w:rsid w:val="00795155"/>
    <w:rsid w:val="007C02E2"/>
    <w:rsid w:val="007E718D"/>
    <w:rsid w:val="00803E46"/>
    <w:rsid w:val="00804941"/>
    <w:rsid w:val="00805A69"/>
    <w:rsid w:val="008065BE"/>
    <w:rsid w:val="008207D0"/>
    <w:rsid w:val="00824ED1"/>
    <w:rsid w:val="00853807"/>
    <w:rsid w:val="0086210E"/>
    <w:rsid w:val="00863C09"/>
    <w:rsid w:val="0087034B"/>
    <w:rsid w:val="00870B93"/>
    <w:rsid w:val="00872BD0"/>
    <w:rsid w:val="00876E90"/>
    <w:rsid w:val="00890846"/>
    <w:rsid w:val="00897C85"/>
    <w:rsid w:val="008A265E"/>
    <w:rsid w:val="008B48F4"/>
    <w:rsid w:val="008C5F54"/>
    <w:rsid w:val="008D53C6"/>
    <w:rsid w:val="008D6375"/>
    <w:rsid w:val="008F7DA6"/>
    <w:rsid w:val="00901E43"/>
    <w:rsid w:val="00917F5C"/>
    <w:rsid w:val="00926A2D"/>
    <w:rsid w:val="009348E7"/>
    <w:rsid w:val="00935661"/>
    <w:rsid w:val="00941747"/>
    <w:rsid w:val="009548F5"/>
    <w:rsid w:val="009B27E9"/>
    <w:rsid w:val="009B4B4B"/>
    <w:rsid w:val="009B500B"/>
    <w:rsid w:val="009B6A65"/>
    <w:rsid w:val="009C758A"/>
    <w:rsid w:val="009D23FB"/>
    <w:rsid w:val="009F1F2E"/>
    <w:rsid w:val="009F22C0"/>
    <w:rsid w:val="009F3458"/>
    <w:rsid w:val="009F3DC6"/>
    <w:rsid w:val="00A00C38"/>
    <w:rsid w:val="00A03457"/>
    <w:rsid w:val="00A1147C"/>
    <w:rsid w:val="00A119C6"/>
    <w:rsid w:val="00A12ACB"/>
    <w:rsid w:val="00A150FF"/>
    <w:rsid w:val="00A1662D"/>
    <w:rsid w:val="00A2253D"/>
    <w:rsid w:val="00A26573"/>
    <w:rsid w:val="00A35374"/>
    <w:rsid w:val="00A363E0"/>
    <w:rsid w:val="00A41970"/>
    <w:rsid w:val="00A4477A"/>
    <w:rsid w:val="00A46D06"/>
    <w:rsid w:val="00A60898"/>
    <w:rsid w:val="00A63629"/>
    <w:rsid w:val="00A73223"/>
    <w:rsid w:val="00A7621B"/>
    <w:rsid w:val="00A837A5"/>
    <w:rsid w:val="00AC244E"/>
    <w:rsid w:val="00AC5CC0"/>
    <w:rsid w:val="00AD2C07"/>
    <w:rsid w:val="00AE4938"/>
    <w:rsid w:val="00AF6AC6"/>
    <w:rsid w:val="00AF7AC3"/>
    <w:rsid w:val="00B03F3A"/>
    <w:rsid w:val="00B07937"/>
    <w:rsid w:val="00B15100"/>
    <w:rsid w:val="00B3704A"/>
    <w:rsid w:val="00B522DD"/>
    <w:rsid w:val="00B530E4"/>
    <w:rsid w:val="00B57400"/>
    <w:rsid w:val="00B67EFE"/>
    <w:rsid w:val="00B758F2"/>
    <w:rsid w:val="00B851B4"/>
    <w:rsid w:val="00B90126"/>
    <w:rsid w:val="00B90844"/>
    <w:rsid w:val="00B91367"/>
    <w:rsid w:val="00B950CF"/>
    <w:rsid w:val="00BC155D"/>
    <w:rsid w:val="00BC3C37"/>
    <w:rsid w:val="00BC5D22"/>
    <w:rsid w:val="00BE6A3A"/>
    <w:rsid w:val="00BF437E"/>
    <w:rsid w:val="00C23B6A"/>
    <w:rsid w:val="00C2453B"/>
    <w:rsid w:val="00C259E1"/>
    <w:rsid w:val="00C27720"/>
    <w:rsid w:val="00C32357"/>
    <w:rsid w:val="00C33B64"/>
    <w:rsid w:val="00C430B7"/>
    <w:rsid w:val="00C43AC8"/>
    <w:rsid w:val="00C56B24"/>
    <w:rsid w:val="00C742F0"/>
    <w:rsid w:val="00C7516B"/>
    <w:rsid w:val="00C75A5F"/>
    <w:rsid w:val="00C827B1"/>
    <w:rsid w:val="00C8432A"/>
    <w:rsid w:val="00C84ACA"/>
    <w:rsid w:val="00C85990"/>
    <w:rsid w:val="00C9181C"/>
    <w:rsid w:val="00CA6761"/>
    <w:rsid w:val="00CA6B52"/>
    <w:rsid w:val="00CB0C39"/>
    <w:rsid w:val="00CD039E"/>
    <w:rsid w:val="00CD5334"/>
    <w:rsid w:val="00CF215E"/>
    <w:rsid w:val="00D03843"/>
    <w:rsid w:val="00D03D04"/>
    <w:rsid w:val="00D0405E"/>
    <w:rsid w:val="00D218B3"/>
    <w:rsid w:val="00D26EDC"/>
    <w:rsid w:val="00D358B6"/>
    <w:rsid w:val="00D41B2F"/>
    <w:rsid w:val="00D43A31"/>
    <w:rsid w:val="00D57DEB"/>
    <w:rsid w:val="00D83346"/>
    <w:rsid w:val="00D90D3D"/>
    <w:rsid w:val="00D94EEF"/>
    <w:rsid w:val="00DA29DF"/>
    <w:rsid w:val="00DA52C8"/>
    <w:rsid w:val="00DA67EF"/>
    <w:rsid w:val="00DB7D29"/>
    <w:rsid w:val="00DC39E5"/>
    <w:rsid w:val="00DC4D07"/>
    <w:rsid w:val="00DD714D"/>
    <w:rsid w:val="00E03264"/>
    <w:rsid w:val="00E048EA"/>
    <w:rsid w:val="00E0755F"/>
    <w:rsid w:val="00E40E34"/>
    <w:rsid w:val="00E41A0A"/>
    <w:rsid w:val="00E420C9"/>
    <w:rsid w:val="00E45704"/>
    <w:rsid w:val="00E558E4"/>
    <w:rsid w:val="00E5715D"/>
    <w:rsid w:val="00E609C5"/>
    <w:rsid w:val="00E61377"/>
    <w:rsid w:val="00E73264"/>
    <w:rsid w:val="00E748DA"/>
    <w:rsid w:val="00E75BCE"/>
    <w:rsid w:val="00E83126"/>
    <w:rsid w:val="00E94F45"/>
    <w:rsid w:val="00EA1695"/>
    <w:rsid w:val="00EB5887"/>
    <w:rsid w:val="00EB7B87"/>
    <w:rsid w:val="00EB7C75"/>
    <w:rsid w:val="00EC10A7"/>
    <w:rsid w:val="00ED4AAA"/>
    <w:rsid w:val="00EE4356"/>
    <w:rsid w:val="00EF1EF4"/>
    <w:rsid w:val="00EF3993"/>
    <w:rsid w:val="00F117E1"/>
    <w:rsid w:val="00F23139"/>
    <w:rsid w:val="00F444A9"/>
    <w:rsid w:val="00F4559F"/>
    <w:rsid w:val="00F47C7F"/>
    <w:rsid w:val="00F50BD3"/>
    <w:rsid w:val="00F527CB"/>
    <w:rsid w:val="00F85017"/>
    <w:rsid w:val="00FA5067"/>
    <w:rsid w:val="00FB0FE6"/>
    <w:rsid w:val="00FB48A3"/>
    <w:rsid w:val="00FB622C"/>
    <w:rsid w:val="00FC1A2B"/>
    <w:rsid w:val="00FD5A3C"/>
    <w:rsid w:val="00FE3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15D8B-DC04-4424-ABD4-6BFB2861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3A"/>
    <w:rPr>
      <w:rFonts w:ascii="Times New Roman" w:eastAsia="Times New Roman" w:hAnsi="Times New Roman"/>
      <w:sz w:val="24"/>
      <w:szCs w:val="24"/>
      <w:lang w:eastAsia="en-US"/>
    </w:rPr>
  </w:style>
  <w:style w:type="paragraph" w:styleId="Heading2">
    <w:name w:val="heading 2"/>
    <w:basedOn w:val="Normal"/>
    <w:next w:val="Normal"/>
    <w:link w:val="Heading2Char"/>
    <w:autoRedefine/>
    <w:semiHidden/>
    <w:unhideWhenUsed/>
    <w:qFormat/>
    <w:rsid w:val="00B03F3A"/>
    <w:pPr>
      <w:spacing w:before="200" w:after="200"/>
      <w:ind w:left="540" w:hanging="540"/>
      <w:jc w:val="both"/>
      <w:outlineLvl w:val="1"/>
    </w:pPr>
    <w:rPr>
      <w:b/>
      <w:bCs/>
      <w:sz w:val="22"/>
      <w:szCs w:val="22"/>
    </w:rPr>
  </w:style>
  <w:style w:type="paragraph" w:styleId="Heading3">
    <w:name w:val="heading 3"/>
    <w:aliases w:val="d"/>
    <w:basedOn w:val="Normal"/>
    <w:next w:val="Normal"/>
    <w:link w:val="Heading3Char"/>
    <w:unhideWhenUsed/>
    <w:qFormat/>
    <w:rsid w:val="00B03F3A"/>
    <w:pPr>
      <w:keepNext/>
      <w:numPr>
        <w:ilvl w:val="2"/>
        <w:numId w:val="1"/>
      </w:numPr>
      <w:spacing w:before="240" w:after="240"/>
      <w:outlineLvl w:val="2"/>
    </w:pPr>
    <w:rPr>
      <w:szCs w:val="28"/>
    </w:rPr>
  </w:style>
  <w:style w:type="paragraph" w:styleId="Heading4">
    <w:name w:val="heading 4"/>
    <w:basedOn w:val="Normal"/>
    <w:next w:val="Normal"/>
    <w:link w:val="Heading4Char"/>
    <w:semiHidden/>
    <w:unhideWhenUsed/>
    <w:qFormat/>
    <w:rsid w:val="00B03F3A"/>
    <w:pPr>
      <w:keepNext/>
      <w:numPr>
        <w:ilvl w:val="3"/>
        <w:numId w:val="1"/>
      </w:numPr>
      <w:tabs>
        <w:tab w:val="left" w:pos="709"/>
      </w:tabs>
      <w:spacing w:before="240" w:after="240"/>
      <w:outlineLvl w:val="3"/>
    </w:pPr>
    <w:rPr>
      <w:b/>
      <w:bCs/>
    </w:rPr>
  </w:style>
  <w:style w:type="paragraph" w:styleId="Heading6">
    <w:name w:val="heading 6"/>
    <w:basedOn w:val="Normal"/>
    <w:next w:val="Normal"/>
    <w:link w:val="Heading6Char"/>
    <w:semiHidden/>
    <w:unhideWhenUsed/>
    <w:qFormat/>
    <w:rsid w:val="00B03F3A"/>
    <w:pPr>
      <w:numPr>
        <w:ilvl w:val="5"/>
        <w:numId w:val="1"/>
      </w:numPr>
      <w:spacing w:before="240" w:after="60"/>
      <w:outlineLvl w:val="5"/>
    </w:pPr>
    <w:rPr>
      <w:b/>
      <w:bCs/>
      <w:sz w:val="22"/>
      <w:szCs w:val="22"/>
    </w:rPr>
  </w:style>
  <w:style w:type="paragraph" w:styleId="Heading7">
    <w:name w:val="heading 7"/>
    <w:basedOn w:val="Normal"/>
    <w:next w:val="Normal"/>
    <w:link w:val="Heading7Char"/>
    <w:semiHidden/>
    <w:unhideWhenUsed/>
    <w:qFormat/>
    <w:rsid w:val="00B03F3A"/>
    <w:pPr>
      <w:numPr>
        <w:ilvl w:val="6"/>
        <w:numId w:val="1"/>
      </w:numPr>
      <w:spacing w:before="240" w:after="60"/>
      <w:outlineLvl w:val="6"/>
    </w:pPr>
  </w:style>
  <w:style w:type="paragraph" w:styleId="Heading8">
    <w:name w:val="heading 8"/>
    <w:basedOn w:val="Normal"/>
    <w:next w:val="Normal"/>
    <w:link w:val="Heading8Char"/>
    <w:semiHidden/>
    <w:unhideWhenUsed/>
    <w:qFormat/>
    <w:rsid w:val="00B03F3A"/>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B03F3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B03F3A"/>
    <w:rPr>
      <w:rFonts w:ascii="Times New Roman" w:eastAsia="Times New Roman" w:hAnsi="Times New Roman" w:cs="Times New Roman"/>
      <w:b/>
      <w:bCs/>
    </w:rPr>
  </w:style>
  <w:style w:type="character" w:customStyle="1" w:styleId="Heading3Char">
    <w:name w:val="Heading 3 Char"/>
    <w:aliases w:val="d Char"/>
    <w:link w:val="Heading3"/>
    <w:rsid w:val="00B03F3A"/>
    <w:rPr>
      <w:rFonts w:ascii="Times New Roman" w:eastAsia="Times New Roman" w:hAnsi="Times New Roman" w:cs="Times New Roman"/>
      <w:sz w:val="24"/>
      <w:szCs w:val="28"/>
    </w:rPr>
  </w:style>
  <w:style w:type="character" w:customStyle="1" w:styleId="Heading4Char">
    <w:name w:val="Heading 4 Char"/>
    <w:link w:val="Heading4"/>
    <w:semiHidden/>
    <w:rsid w:val="00B03F3A"/>
    <w:rPr>
      <w:rFonts w:ascii="Times New Roman" w:eastAsia="Times New Roman" w:hAnsi="Times New Roman" w:cs="Times New Roman"/>
      <w:b/>
      <w:bCs/>
      <w:sz w:val="24"/>
      <w:szCs w:val="24"/>
    </w:rPr>
  </w:style>
  <w:style w:type="character" w:customStyle="1" w:styleId="Heading6Char">
    <w:name w:val="Heading 6 Char"/>
    <w:link w:val="Heading6"/>
    <w:semiHidden/>
    <w:rsid w:val="00B03F3A"/>
    <w:rPr>
      <w:rFonts w:ascii="Times New Roman" w:eastAsia="Times New Roman" w:hAnsi="Times New Roman" w:cs="Times New Roman"/>
      <w:b/>
      <w:bCs/>
    </w:rPr>
  </w:style>
  <w:style w:type="character" w:customStyle="1" w:styleId="Heading7Char">
    <w:name w:val="Heading 7 Char"/>
    <w:link w:val="Heading7"/>
    <w:semiHidden/>
    <w:rsid w:val="00B03F3A"/>
    <w:rPr>
      <w:rFonts w:ascii="Times New Roman" w:eastAsia="Times New Roman" w:hAnsi="Times New Roman" w:cs="Times New Roman"/>
      <w:sz w:val="24"/>
      <w:szCs w:val="24"/>
    </w:rPr>
  </w:style>
  <w:style w:type="character" w:customStyle="1" w:styleId="Heading8Char">
    <w:name w:val="Heading 8 Char"/>
    <w:link w:val="Heading8"/>
    <w:semiHidden/>
    <w:rsid w:val="00B03F3A"/>
    <w:rPr>
      <w:rFonts w:ascii="Times New Roman" w:eastAsia="Times New Roman" w:hAnsi="Times New Roman" w:cs="Times New Roman"/>
      <w:i/>
      <w:iCs/>
      <w:sz w:val="24"/>
      <w:szCs w:val="24"/>
    </w:rPr>
  </w:style>
  <w:style w:type="character" w:customStyle="1" w:styleId="Heading9Char">
    <w:name w:val="Heading 9 Char"/>
    <w:link w:val="Heading9"/>
    <w:semiHidden/>
    <w:rsid w:val="00B03F3A"/>
    <w:rPr>
      <w:rFonts w:ascii="Arial" w:eastAsia="Times New Roman" w:hAnsi="Arial" w:cs="Arial"/>
    </w:rPr>
  </w:style>
  <w:style w:type="paragraph" w:styleId="FootnoteText">
    <w:name w:val="footnote text"/>
    <w:basedOn w:val="Normal"/>
    <w:link w:val="FootnoteTextChar"/>
    <w:semiHidden/>
    <w:unhideWhenUsed/>
    <w:rsid w:val="00B03F3A"/>
    <w:pPr>
      <w:widowControl w:val="0"/>
    </w:pPr>
    <w:rPr>
      <w:sz w:val="20"/>
      <w:szCs w:val="20"/>
    </w:rPr>
  </w:style>
  <w:style w:type="character" w:customStyle="1" w:styleId="FootnoteTextChar">
    <w:name w:val="Footnote Text Char"/>
    <w:link w:val="FootnoteText"/>
    <w:semiHidden/>
    <w:rsid w:val="00B03F3A"/>
    <w:rPr>
      <w:rFonts w:ascii="Times New Roman" w:eastAsia="Times New Roman" w:hAnsi="Times New Roman" w:cs="Times New Roman"/>
      <w:sz w:val="20"/>
      <w:szCs w:val="20"/>
    </w:rPr>
  </w:style>
  <w:style w:type="paragraph" w:customStyle="1" w:styleId="HeadingA">
    <w:name w:val="Heading A"/>
    <w:basedOn w:val="Normal"/>
    <w:rsid w:val="00B03F3A"/>
    <w:pPr>
      <w:numPr>
        <w:numId w:val="1"/>
      </w:numPr>
      <w:tabs>
        <w:tab w:val="left" w:pos="567"/>
      </w:tabs>
    </w:pPr>
    <w:rPr>
      <w:b/>
      <w:bCs/>
      <w:sz w:val="36"/>
      <w:szCs w:val="36"/>
    </w:rPr>
  </w:style>
  <w:style w:type="paragraph" w:customStyle="1" w:styleId="BodyText1">
    <w:name w:val="Body Text1"/>
    <w:basedOn w:val="Normal"/>
    <w:autoRedefine/>
    <w:rsid w:val="00A1147C"/>
    <w:pPr>
      <w:numPr>
        <w:ilvl w:val="12"/>
      </w:numPr>
    </w:pPr>
    <w:rPr>
      <w:rFonts w:ascii="Arial" w:hAnsi="Arial" w:cs="Arial"/>
      <w:sz w:val="20"/>
      <w:szCs w:val="20"/>
    </w:rPr>
  </w:style>
  <w:style w:type="paragraph" w:customStyle="1" w:styleId="a">
    <w:name w:val="a"/>
    <w:basedOn w:val="Normal"/>
    <w:rsid w:val="00B03F3A"/>
    <w:pPr>
      <w:tabs>
        <w:tab w:val="left" w:pos="540"/>
      </w:tabs>
      <w:spacing w:before="120"/>
      <w:ind w:left="540" w:hanging="540"/>
    </w:pPr>
    <w:rPr>
      <w:sz w:val="20"/>
      <w:szCs w:val="20"/>
    </w:rPr>
  </w:style>
  <w:style w:type="paragraph" w:customStyle="1" w:styleId="i">
    <w:name w:val="i"/>
    <w:basedOn w:val="Normal"/>
    <w:rsid w:val="00B03F3A"/>
    <w:pPr>
      <w:tabs>
        <w:tab w:val="left" w:pos="1080"/>
      </w:tabs>
      <w:spacing w:before="120"/>
      <w:ind w:left="1080" w:hanging="540"/>
    </w:pPr>
    <w:rPr>
      <w:sz w:val="20"/>
      <w:szCs w:val="20"/>
    </w:rPr>
  </w:style>
  <w:style w:type="paragraph" w:customStyle="1" w:styleId="i0">
    <w:name w:val="(i)"/>
    <w:basedOn w:val="BodyTextIndent"/>
    <w:rsid w:val="00B03F3A"/>
    <w:pPr>
      <w:tabs>
        <w:tab w:val="left" w:pos="540"/>
        <w:tab w:val="left" w:pos="900"/>
      </w:tabs>
      <w:autoSpaceDE w:val="0"/>
      <w:autoSpaceDN w:val="0"/>
      <w:adjustRightInd w:val="0"/>
      <w:spacing w:after="0"/>
      <w:ind w:left="900" w:hanging="900"/>
    </w:pPr>
    <w:rPr>
      <w:noProof/>
      <w:sz w:val="20"/>
      <w:lang w:val="en-US"/>
    </w:rPr>
  </w:style>
  <w:style w:type="paragraph" w:styleId="BodyTextIndent">
    <w:name w:val="Body Text Indent"/>
    <w:basedOn w:val="Normal"/>
    <w:link w:val="BodyTextIndentChar"/>
    <w:uiPriority w:val="99"/>
    <w:semiHidden/>
    <w:unhideWhenUsed/>
    <w:rsid w:val="00B03F3A"/>
    <w:pPr>
      <w:spacing w:after="120"/>
      <w:ind w:left="283"/>
    </w:pPr>
  </w:style>
  <w:style w:type="character" w:customStyle="1" w:styleId="BodyTextIndentChar">
    <w:name w:val="Body Text Indent Char"/>
    <w:link w:val="BodyTextIndent"/>
    <w:uiPriority w:val="99"/>
    <w:semiHidden/>
    <w:rsid w:val="00B03F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F2E"/>
    <w:rPr>
      <w:rFonts w:ascii="Tahoma" w:hAnsi="Tahoma" w:cs="Tahoma"/>
      <w:sz w:val="16"/>
      <w:szCs w:val="16"/>
    </w:rPr>
  </w:style>
  <w:style w:type="character" w:customStyle="1" w:styleId="BalloonTextChar">
    <w:name w:val="Balloon Text Char"/>
    <w:link w:val="BalloonText"/>
    <w:uiPriority w:val="99"/>
    <w:semiHidden/>
    <w:rsid w:val="00575F2E"/>
    <w:rPr>
      <w:rFonts w:ascii="Tahoma" w:eastAsia="Times New Roman" w:hAnsi="Tahoma" w:cs="Tahoma"/>
      <w:sz w:val="16"/>
      <w:szCs w:val="16"/>
    </w:rPr>
  </w:style>
  <w:style w:type="paragraph" w:styleId="ListParagraph">
    <w:name w:val="List Paragraph"/>
    <w:basedOn w:val="Normal"/>
    <w:uiPriority w:val="34"/>
    <w:qFormat/>
    <w:rsid w:val="004047A7"/>
    <w:pPr>
      <w:ind w:left="720"/>
      <w:contextualSpacing/>
    </w:pPr>
  </w:style>
  <w:style w:type="paragraph" w:styleId="Header">
    <w:name w:val="header"/>
    <w:basedOn w:val="Normal"/>
    <w:link w:val="HeaderChar"/>
    <w:unhideWhenUsed/>
    <w:rsid w:val="00890846"/>
    <w:pPr>
      <w:tabs>
        <w:tab w:val="center" w:pos="4513"/>
        <w:tab w:val="right" w:pos="9026"/>
      </w:tabs>
    </w:pPr>
  </w:style>
  <w:style w:type="character" w:customStyle="1" w:styleId="HeaderChar">
    <w:name w:val="Header Char"/>
    <w:link w:val="Header"/>
    <w:uiPriority w:val="99"/>
    <w:rsid w:val="00890846"/>
    <w:rPr>
      <w:rFonts w:ascii="Times New Roman" w:eastAsia="Times New Roman" w:hAnsi="Times New Roman" w:cs="Times New Roman"/>
      <w:sz w:val="24"/>
      <w:szCs w:val="24"/>
    </w:rPr>
  </w:style>
  <w:style w:type="paragraph" w:styleId="Footer">
    <w:name w:val="footer"/>
    <w:aliases w:val="footer16cm"/>
    <w:basedOn w:val="Normal"/>
    <w:link w:val="FooterChar"/>
    <w:uiPriority w:val="99"/>
    <w:unhideWhenUsed/>
    <w:rsid w:val="00890846"/>
    <w:pPr>
      <w:tabs>
        <w:tab w:val="center" w:pos="4513"/>
        <w:tab w:val="right" w:pos="9026"/>
      </w:tabs>
    </w:pPr>
  </w:style>
  <w:style w:type="character" w:customStyle="1" w:styleId="FooterChar">
    <w:name w:val="Footer Char"/>
    <w:aliases w:val="footer16cm Char"/>
    <w:link w:val="Footer"/>
    <w:uiPriority w:val="99"/>
    <w:rsid w:val="00890846"/>
    <w:rPr>
      <w:rFonts w:ascii="Times New Roman" w:eastAsia="Times New Roman" w:hAnsi="Times New Roman" w:cs="Times New Roman"/>
      <w:sz w:val="24"/>
      <w:szCs w:val="24"/>
    </w:rPr>
  </w:style>
  <w:style w:type="character" w:styleId="CommentReference">
    <w:name w:val="annotation reference"/>
    <w:uiPriority w:val="99"/>
    <w:semiHidden/>
    <w:unhideWhenUsed/>
    <w:rsid w:val="0054078A"/>
    <w:rPr>
      <w:sz w:val="16"/>
      <w:szCs w:val="16"/>
    </w:rPr>
  </w:style>
  <w:style w:type="paragraph" w:styleId="CommentText">
    <w:name w:val="annotation text"/>
    <w:basedOn w:val="Normal"/>
    <w:link w:val="CommentTextChar"/>
    <w:uiPriority w:val="99"/>
    <w:semiHidden/>
    <w:unhideWhenUsed/>
    <w:rsid w:val="0054078A"/>
    <w:rPr>
      <w:sz w:val="20"/>
      <w:szCs w:val="20"/>
    </w:rPr>
  </w:style>
  <w:style w:type="character" w:customStyle="1" w:styleId="CommentTextChar">
    <w:name w:val="Comment Text Char"/>
    <w:link w:val="CommentText"/>
    <w:uiPriority w:val="99"/>
    <w:semiHidden/>
    <w:rsid w:val="005407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78A"/>
    <w:rPr>
      <w:b/>
      <w:bCs/>
    </w:rPr>
  </w:style>
  <w:style w:type="character" w:customStyle="1" w:styleId="CommentSubjectChar">
    <w:name w:val="Comment Subject Char"/>
    <w:link w:val="CommentSubject"/>
    <w:uiPriority w:val="99"/>
    <w:semiHidden/>
    <w:rsid w:val="0054078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63C09"/>
    <w:rPr>
      <w:color w:val="0000FF"/>
      <w:u w:val="single"/>
    </w:rPr>
  </w:style>
  <w:style w:type="character" w:styleId="FollowedHyperlink">
    <w:name w:val="FollowedHyperlink"/>
    <w:basedOn w:val="DefaultParagraphFont"/>
    <w:uiPriority w:val="99"/>
    <w:semiHidden/>
    <w:unhideWhenUsed/>
    <w:rsid w:val="00863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5022">
      <w:bodyDiv w:val="1"/>
      <w:marLeft w:val="0"/>
      <w:marRight w:val="0"/>
      <w:marTop w:val="0"/>
      <w:marBottom w:val="0"/>
      <w:divBdr>
        <w:top w:val="none" w:sz="0" w:space="0" w:color="auto"/>
        <w:left w:val="none" w:sz="0" w:space="0" w:color="auto"/>
        <w:bottom w:val="none" w:sz="0" w:space="0" w:color="auto"/>
        <w:right w:val="none" w:sz="0" w:space="0" w:color="auto"/>
      </w:divBdr>
    </w:div>
    <w:div w:id="1417481474">
      <w:bodyDiv w:val="1"/>
      <w:marLeft w:val="0"/>
      <w:marRight w:val="0"/>
      <w:marTop w:val="0"/>
      <w:marBottom w:val="0"/>
      <w:divBdr>
        <w:top w:val="none" w:sz="0" w:space="0" w:color="auto"/>
        <w:left w:val="none" w:sz="0" w:space="0" w:color="auto"/>
        <w:bottom w:val="none" w:sz="0" w:space="0" w:color="auto"/>
        <w:right w:val="none" w:sz="0" w:space="0" w:color="auto"/>
      </w:divBdr>
    </w:div>
    <w:div w:id="192518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admissions@curtin.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udents.curtin.edu.au/local/docs/English_List.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Curtin University of Technology</dc:creator>
  <cp:lastModifiedBy>Kelly Pohatu</cp:lastModifiedBy>
  <cp:revision>2</cp:revision>
  <cp:lastPrinted>2012-05-03T00:35:00Z</cp:lastPrinted>
  <dcterms:created xsi:type="dcterms:W3CDTF">2016-09-30T08:42:00Z</dcterms:created>
  <dcterms:modified xsi:type="dcterms:W3CDTF">2016-09-30T08:42:00Z</dcterms:modified>
</cp:coreProperties>
</file>